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DA" w:rsidRPr="003263E9" w:rsidRDefault="002625DA" w:rsidP="003263E9">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3263E9">
        <w:rPr>
          <w:rFonts w:ascii="Arial" w:eastAsia="Times New Roman" w:hAnsi="Arial" w:cs="Arial"/>
          <w:b/>
          <w:bCs/>
          <w:kern w:val="36"/>
          <w:sz w:val="24"/>
          <w:szCs w:val="24"/>
          <w:lang w:eastAsia="es-ES"/>
        </w:rPr>
        <w:t>Ciencia e innovación tecnológica en la salud en Cuba: resultados en problemas seleccionados</w:t>
      </w:r>
    </w:p>
    <w:p w:rsidR="002625DA" w:rsidRPr="003263E9" w:rsidRDefault="00A04FB1" w:rsidP="003263E9">
      <w:pPr>
        <w:spacing w:after="0" w:line="240" w:lineRule="auto"/>
        <w:jc w:val="both"/>
        <w:rPr>
          <w:rFonts w:ascii="Arial" w:eastAsia="Times New Roman" w:hAnsi="Arial" w:cs="Arial"/>
          <w:sz w:val="24"/>
          <w:szCs w:val="24"/>
          <w:lang w:eastAsia="es-ES"/>
        </w:rPr>
      </w:pPr>
      <w:hyperlink r:id="rId5" w:history="1">
        <w:r w:rsidR="002625DA" w:rsidRPr="003263E9">
          <w:rPr>
            <w:rFonts w:ascii="Arial" w:eastAsia="Times New Roman" w:hAnsi="Arial" w:cs="Arial"/>
            <w:sz w:val="24"/>
            <w:szCs w:val="24"/>
            <w:lang w:eastAsia="es-ES"/>
          </w:rPr>
          <w:t>Nereida Rojo Pérez</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1</w:t>
      </w:r>
      <w:r w:rsidR="002625DA" w:rsidRPr="003263E9">
        <w:rPr>
          <w:rFonts w:ascii="Arial" w:eastAsia="Times New Roman" w:hAnsi="Arial" w:cs="Arial"/>
          <w:sz w:val="24"/>
          <w:szCs w:val="24"/>
          <w:lang w:eastAsia="es-ES"/>
        </w:rPr>
        <w:t xml:space="preserve"> </w:t>
      </w:r>
      <w:hyperlink r:id="rId6" w:history="1">
        <w:r w:rsidR="002625DA" w:rsidRPr="003263E9">
          <w:rPr>
            <w:rFonts w:ascii="Arial" w:eastAsia="Times New Roman" w:hAnsi="Arial" w:cs="Arial"/>
            <w:sz w:val="24"/>
            <w:szCs w:val="24"/>
            <w:lang w:eastAsia="es-ES"/>
          </w:rPr>
          <w:t xml:space="preserve">Carmen </w:t>
        </w:r>
        <w:proofErr w:type="spellStart"/>
        <w:r w:rsidR="002625DA" w:rsidRPr="003263E9">
          <w:rPr>
            <w:rFonts w:ascii="Arial" w:eastAsia="Times New Roman" w:hAnsi="Arial" w:cs="Arial"/>
            <w:sz w:val="24"/>
            <w:szCs w:val="24"/>
            <w:lang w:eastAsia="es-ES"/>
          </w:rPr>
          <w:t>Valenti</w:t>
        </w:r>
        <w:proofErr w:type="spellEnd"/>
        <w:r w:rsidR="002625DA" w:rsidRPr="003263E9">
          <w:rPr>
            <w:rFonts w:ascii="Arial" w:eastAsia="Times New Roman" w:hAnsi="Arial" w:cs="Arial"/>
            <w:sz w:val="24"/>
            <w:szCs w:val="24"/>
            <w:lang w:eastAsia="es-ES"/>
          </w:rPr>
          <w:t xml:space="preserve"> Pérez</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1</w:t>
      </w:r>
      <w:r w:rsidR="002625DA" w:rsidRPr="003263E9">
        <w:rPr>
          <w:rFonts w:ascii="Arial" w:eastAsia="Times New Roman" w:hAnsi="Arial" w:cs="Arial"/>
          <w:sz w:val="24"/>
          <w:szCs w:val="24"/>
          <w:lang w:eastAsia="es-ES"/>
        </w:rPr>
        <w:t xml:space="preserve"> </w:t>
      </w:r>
      <w:hyperlink r:id="rId7" w:history="1">
        <w:proofErr w:type="spellStart"/>
        <w:r w:rsidR="002625DA" w:rsidRPr="003263E9">
          <w:rPr>
            <w:rFonts w:ascii="Arial" w:eastAsia="Times New Roman" w:hAnsi="Arial" w:cs="Arial"/>
            <w:sz w:val="24"/>
            <w:szCs w:val="24"/>
            <w:lang w:eastAsia="es-ES"/>
          </w:rPr>
          <w:t>Nelcy</w:t>
        </w:r>
        <w:proofErr w:type="spellEnd"/>
        <w:r w:rsidR="002625DA" w:rsidRPr="003263E9">
          <w:rPr>
            <w:rFonts w:ascii="Arial" w:eastAsia="Times New Roman" w:hAnsi="Arial" w:cs="Arial"/>
            <w:sz w:val="24"/>
            <w:szCs w:val="24"/>
            <w:lang w:eastAsia="es-ES"/>
          </w:rPr>
          <w:t xml:space="preserve"> Martínez Trujillo</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1</w:t>
      </w:r>
      <w:r w:rsidR="002625DA" w:rsidRPr="003263E9">
        <w:rPr>
          <w:rFonts w:ascii="Arial" w:eastAsia="Times New Roman" w:hAnsi="Arial" w:cs="Arial"/>
          <w:sz w:val="24"/>
          <w:szCs w:val="24"/>
          <w:lang w:eastAsia="es-ES"/>
        </w:rPr>
        <w:t xml:space="preserve"> </w:t>
      </w:r>
      <w:hyperlink r:id="rId8" w:history="1">
        <w:r w:rsidR="002625DA" w:rsidRPr="003263E9">
          <w:rPr>
            <w:rFonts w:ascii="Arial" w:eastAsia="Times New Roman" w:hAnsi="Arial" w:cs="Arial"/>
            <w:sz w:val="24"/>
            <w:szCs w:val="24"/>
            <w:lang w:eastAsia="es-ES"/>
          </w:rPr>
          <w:t>Ileana Morales Suárez</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2</w:t>
      </w:r>
      <w:r w:rsidR="002625DA" w:rsidRPr="003263E9">
        <w:rPr>
          <w:rFonts w:ascii="Arial" w:eastAsia="Times New Roman" w:hAnsi="Arial" w:cs="Arial"/>
          <w:sz w:val="24"/>
          <w:szCs w:val="24"/>
          <w:lang w:eastAsia="es-ES"/>
        </w:rPr>
        <w:t xml:space="preserve"> </w:t>
      </w:r>
      <w:hyperlink r:id="rId9" w:history="1">
        <w:r w:rsidR="002625DA" w:rsidRPr="003263E9">
          <w:rPr>
            <w:rFonts w:ascii="Arial" w:eastAsia="Times New Roman" w:hAnsi="Arial" w:cs="Arial"/>
            <w:sz w:val="24"/>
            <w:szCs w:val="24"/>
            <w:lang w:eastAsia="es-ES"/>
          </w:rPr>
          <w:t>Eric Martínez Torres</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3</w:t>
      </w:r>
      <w:r w:rsidR="002625DA" w:rsidRPr="003263E9">
        <w:rPr>
          <w:rFonts w:ascii="Arial" w:eastAsia="Times New Roman" w:hAnsi="Arial" w:cs="Arial"/>
          <w:sz w:val="24"/>
          <w:szCs w:val="24"/>
          <w:lang w:eastAsia="es-ES"/>
        </w:rPr>
        <w:t xml:space="preserve"> </w:t>
      </w:r>
      <w:hyperlink r:id="rId10" w:history="1">
        <w:r w:rsidR="002625DA" w:rsidRPr="003263E9">
          <w:rPr>
            <w:rFonts w:ascii="Arial" w:eastAsia="Times New Roman" w:hAnsi="Arial" w:cs="Arial"/>
            <w:sz w:val="24"/>
            <w:szCs w:val="24"/>
            <w:lang w:eastAsia="es-ES"/>
          </w:rPr>
          <w:t xml:space="preserve">Ileana </w:t>
        </w:r>
        <w:proofErr w:type="spellStart"/>
        <w:r w:rsidR="002625DA" w:rsidRPr="003263E9">
          <w:rPr>
            <w:rFonts w:ascii="Arial" w:eastAsia="Times New Roman" w:hAnsi="Arial" w:cs="Arial"/>
            <w:sz w:val="24"/>
            <w:szCs w:val="24"/>
            <w:lang w:eastAsia="es-ES"/>
          </w:rPr>
          <w:t>Fleitas</w:t>
        </w:r>
        <w:proofErr w:type="spellEnd"/>
        <w:r w:rsidR="002625DA" w:rsidRPr="003263E9">
          <w:rPr>
            <w:rFonts w:ascii="Arial" w:eastAsia="Times New Roman" w:hAnsi="Arial" w:cs="Arial"/>
            <w:sz w:val="24"/>
            <w:szCs w:val="24"/>
            <w:lang w:eastAsia="es-ES"/>
          </w:rPr>
          <w:t xml:space="preserve"> Estévez</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4</w:t>
      </w:r>
      <w:r w:rsidR="002625DA" w:rsidRPr="003263E9">
        <w:rPr>
          <w:rFonts w:ascii="Arial" w:eastAsia="Times New Roman" w:hAnsi="Arial" w:cs="Arial"/>
          <w:sz w:val="24"/>
          <w:szCs w:val="24"/>
          <w:lang w:eastAsia="es-ES"/>
        </w:rPr>
        <w:t xml:space="preserve"> </w:t>
      </w:r>
      <w:hyperlink r:id="rId11" w:history="1">
        <w:r w:rsidR="002625DA" w:rsidRPr="003263E9">
          <w:rPr>
            <w:rFonts w:ascii="Arial" w:eastAsia="Times New Roman" w:hAnsi="Arial" w:cs="Arial"/>
            <w:sz w:val="24"/>
            <w:szCs w:val="24"/>
            <w:lang w:eastAsia="es-ES"/>
          </w:rPr>
          <w:t xml:space="preserve">Miriam </w:t>
        </w:r>
        <w:proofErr w:type="spellStart"/>
        <w:r w:rsidR="002625DA" w:rsidRPr="003263E9">
          <w:rPr>
            <w:rFonts w:ascii="Arial" w:eastAsia="Times New Roman" w:hAnsi="Arial" w:cs="Arial"/>
            <w:sz w:val="24"/>
            <w:szCs w:val="24"/>
            <w:lang w:eastAsia="es-ES"/>
          </w:rPr>
          <w:t>Portuondo</w:t>
        </w:r>
        <w:proofErr w:type="spellEnd"/>
        <w:r w:rsidR="002625DA" w:rsidRPr="003263E9">
          <w:rPr>
            <w:rFonts w:ascii="Arial" w:eastAsia="Times New Roman" w:hAnsi="Arial" w:cs="Arial"/>
            <w:sz w:val="24"/>
            <w:szCs w:val="24"/>
            <w:lang w:eastAsia="es-ES"/>
          </w:rPr>
          <w:t xml:space="preserve"> Sao</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2</w:t>
      </w:r>
      <w:r w:rsidR="002625DA" w:rsidRPr="003263E9">
        <w:rPr>
          <w:rFonts w:ascii="Arial" w:eastAsia="Times New Roman" w:hAnsi="Arial" w:cs="Arial"/>
          <w:sz w:val="24"/>
          <w:szCs w:val="24"/>
          <w:lang w:eastAsia="es-ES"/>
        </w:rPr>
        <w:t xml:space="preserve"> </w:t>
      </w:r>
      <w:hyperlink r:id="rId12" w:history="1">
        <w:proofErr w:type="spellStart"/>
        <w:r w:rsidR="002625DA" w:rsidRPr="003263E9">
          <w:rPr>
            <w:rFonts w:ascii="Arial" w:eastAsia="Times New Roman" w:hAnsi="Arial" w:cs="Arial"/>
            <w:sz w:val="24"/>
            <w:szCs w:val="24"/>
            <w:lang w:eastAsia="es-ES"/>
          </w:rPr>
          <w:t>Yisel</w:t>
        </w:r>
        <w:proofErr w:type="spellEnd"/>
        <w:r w:rsidR="002625DA" w:rsidRPr="003263E9">
          <w:rPr>
            <w:rFonts w:ascii="Arial" w:eastAsia="Times New Roman" w:hAnsi="Arial" w:cs="Arial"/>
            <w:sz w:val="24"/>
            <w:szCs w:val="24"/>
            <w:lang w:eastAsia="es-ES"/>
          </w:rPr>
          <w:t xml:space="preserve"> Torres Rojo</w:t>
        </w:r>
      </w:hyperlink>
      <w:r w:rsidR="002625DA" w:rsidRPr="003263E9">
        <w:rPr>
          <w:rFonts w:ascii="Arial" w:eastAsia="Times New Roman" w:hAnsi="Arial" w:cs="Arial"/>
          <w:sz w:val="24"/>
          <w:szCs w:val="24"/>
          <w:lang w:eastAsia="es-ES"/>
        </w:rPr>
        <w:t>,</w:t>
      </w:r>
      <w:r w:rsidR="002625DA" w:rsidRPr="003263E9">
        <w:rPr>
          <w:rFonts w:ascii="Arial" w:eastAsia="Times New Roman" w:hAnsi="Arial" w:cs="Arial"/>
          <w:sz w:val="24"/>
          <w:szCs w:val="24"/>
          <w:vertAlign w:val="superscript"/>
          <w:lang w:eastAsia="es-ES"/>
        </w:rPr>
        <w:t>3</w:t>
      </w:r>
      <w:r w:rsidR="002625DA" w:rsidRPr="003263E9">
        <w:rPr>
          <w:rFonts w:ascii="Arial" w:eastAsia="Times New Roman" w:hAnsi="Arial" w:cs="Arial"/>
          <w:sz w:val="24"/>
          <w:szCs w:val="24"/>
          <w:lang w:eastAsia="es-ES"/>
        </w:rPr>
        <w:t xml:space="preserve"> and </w:t>
      </w:r>
      <w:hyperlink r:id="rId13" w:history="1">
        <w:r w:rsidR="002625DA" w:rsidRPr="003263E9">
          <w:rPr>
            <w:rFonts w:ascii="Arial" w:eastAsia="Times New Roman" w:hAnsi="Arial" w:cs="Arial"/>
            <w:sz w:val="24"/>
            <w:szCs w:val="24"/>
            <w:lang w:eastAsia="es-ES"/>
          </w:rPr>
          <w:t>V. Gustavo Sierra González</w:t>
        </w:r>
      </w:hyperlink>
      <w:r w:rsidR="002625DA" w:rsidRPr="003263E9">
        <w:rPr>
          <w:rFonts w:ascii="Arial" w:eastAsia="Times New Roman" w:hAnsi="Arial" w:cs="Arial"/>
          <w:sz w:val="24"/>
          <w:szCs w:val="24"/>
          <w:vertAlign w:val="superscript"/>
          <w:lang w:eastAsia="es-ES"/>
        </w:rPr>
        <w:t>5</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Sistema de Ciencia e Innovación Tecnológica en Cuba está regido por el Ministerio de Ciencia, Tecnología y Medio Ambiente (CITMA), de acuerdo con la Resolución No. 44/2012, cuya implementación consolidó la reorganización de la actividad científica a partir de una política dirigida a lograr más eficiencia y vinculación con la actividad productiva y de servicios (</w:t>
      </w:r>
      <w:hyperlink r:id="rId14" w:anchor="B1" w:history="1">
        <w:r w:rsidRPr="003263E9">
          <w:rPr>
            <w:rFonts w:ascii="Arial" w:eastAsia="Times New Roman" w:hAnsi="Arial" w:cs="Arial"/>
            <w:color w:val="0000FF"/>
            <w:sz w:val="24"/>
            <w:szCs w:val="24"/>
            <w:u w:val="single"/>
            <w:lang w:eastAsia="es-ES"/>
          </w:rPr>
          <w:t>1</w:t>
        </w:r>
      </w:hyperlink>
      <w:r w:rsidRPr="003263E9">
        <w:rPr>
          <w:rFonts w:ascii="Arial" w:eastAsia="Times New Roman" w:hAnsi="Arial" w:cs="Arial"/>
          <w:sz w:val="24"/>
          <w:szCs w:val="24"/>
          <w:lang w:eastAsia="es-ES"/>
        </w:rPr>
        <w:t>). Esto significó una reducción del número de programas de investigación y de las estructuras, y el otorgamiento de una nueva nomenclatura para esas entidades que, según su misión, se clasifican como (</w:t>
      </w:r>
      <w:hyperlink r:id="rId15" w:anchor="B2" w:history="1">
        <w:r w:rsidRPr="003263E9">
          <w:rPr>
            <w:rFonts w:ascii="Arial" w:eastAsia="Times New Roman" w:hAnsi="Arial" w:cs="Arial"/>
            <w:color w:val="0000FF"/>
            <w:sz w:val="24"/>
            <w:szCs w:val="24"/>
            <w:u w:val="single"/>
            <w:lang w:eastAsia="es-ES"/>
          </w:rPr>
          <w:t>2</w:t>
        </w:r>
      </w:hyperlink>
      <w:r w:rsidRPr="003263E9">
        <w:rPr>
          <w:rFonts w:ascii="Arial" w:eastAsia="Times New Roman" w:hAnsi="Arial" w:cs="Arial"/>
          <w:sz w:val="24"/>
          <w:szCs w:val="24"/>
          <w:lang w:eastAsia="es-ES"/>
        </w:rPr>
        <w:t>):</w:t>
      </w:r>
    </w:p>
    <w:p w:rsidR="002625DA" w:rsidRPr="003263E9" w:rsidRDefault="002625DA" w:rsidP="003263E9">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centros de investigación, cuando su actividad fundamental es la investigación científica y la innovación</w:t>
      </w:r>
    </w:p>
    <w:p w:rsidR="002625DA" w:rsidRPr="003263E9" w:rsidRDefault="002625DA" w:rsidP="003263E9">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centros de servicios científicos y tecnológicos, encargados de la prestación de servicios, producciones especializadas e investigaciones</w:t>
      </w:r>
    </w:p>
    <w:p w:rsidR="002625DA" w:rsidRPr="003263E9" w:rsidRDefault="002625DA" w:rsidP="003263E9">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unidades de desarrollo e innovación, organizadas en forma de empresas,</w:t>
      </w:r>
      <w:hyperlink r:id="rId16" w:anchor="fn1" w:history="1">
        <w:r w:rsidRPr="003263E9">
          <w:rPr>
            <w:rFonts w:ascii="Arial" w:eastAsia="Times New Roman" w:hAnsi="Arial" w:cs="Arial"/>
            <w:color w:val="0000FF"/>
            <w:sz w:val="24"/>
            <w:szCs w:val="24"/>
            <w:u w:val="single"/>
            <w:vertAlign w:val="superscript"/>
            <w:lang w:eastAsia="es-ES"/>
          </w:rPr>
          <w:t>6</w:t>
        </w:r>
      </w:hyperlink>
      <w:r w:rsidRPr="003263E9">
        <w:rPr>
          <w:rFonts w:ascii="Arial" w:eastAsia="Times New Roman" w:hAnsi="Arial" w:cs="Arial"/>
          <w:sz w:val="24"/>
          <w:szCs w:val="24"/>
          <w:lang w:eastAsia="es-ES"/>
        </w:rPr>
        <w:t xml:space="preserve"> unidades presupuestadas (financiadas por el Estado) u otro tipo de organización; en todos los casos, su cometido es desarrollar o innovar para agregar valor a los bienes, los servicios y los procesos que ofrecen.</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Las actividades de investigación- desarrollo están organizadas sobre la base de programas y proyectos (célula básica de la investigación) y se clasifican como (</w:t>
      </w:r>
      <w:hyperlink r:id="rId17" w:anchor="B1" w:history="1">
        <w:r w:rsidRPr="003263E9">
          <w:rPr>
            <w:rFonts w:ascii="Arial" w:eastAsia="Times New Roman" w:hAnsi="Arial" w:cs="Arial"/>
            <w:color w:val="0000FF"/>
            <w:sz w:val="24"/>
            <w:szCs w:val="24"/>
            <w:u w:val="single"/>
            <w:lang w:eastAsia="es-ES"/>
          </w:rPr>
          <w:t>1</w:t>
        </w:r>
      </w:hyperlink>
      <w:r w:rsidRPr="003263E9">
        <w:rPr>
          <w:rFonts w:ascii="Arial" w:eastAsia="Times New Roman" w:hAnsi="Arial" w:cs="Arial"/>
          <w:sz w:val="24"/>
          <w:szCs w:val="24"/>
          <w:lang w:eastAsia="es-ES"/>
        </w:rPr>
        <w:t>):</w:t>
      </w:r>
    </w:p>
    <w:p w:rsidR="002625DA" w:rsidRPr="003263E9" w:rsidRDefault="002625DA" w:rsidP="003263E9">
      <w:pPr>
        <w:numPr>
          <w:ilvl w:val="0"/>
          <w:numId w:val="2"/>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proyectos asociados a programas de ciencia, tecnología e innovación dirigidos a estudiar problemas de interés nacional —controlados por el CITMA, independientemente del sector de que se trate—; los programas agrupan proyectos que se interrelacionan para satisfacer las prioridades establecidas por el Estado; el sector de la salud responde por los programas de su ámbito a través de las unidades gestoras</w:t>
      </w:r>
    </w:p>
    <w:p w:rsidR="002625DA" w:rsidRPr="003263E9" w:rsidRDefault="002625DA" w:rsidP="003263E9">
      <w:pPr>
        <w:numPr>
          <w:ilvl w:val="0"/>
          <w:numId w:val="2"/>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proyectos no asociados a programas, dirigidos a solventar las prioridades nacionales que no requieren de la implementación de un programa</w:t>
      </w:r>
    </w:p>
    <w:p w:rsidR="002625DA" w:rsidRPr="003263E9" w:rsidRDefault="002625DA" w:rsidP="003263E9">
      <w:pPr>
        <w:numPr>
          <w:ilvl w:val="0"/>
          <w:numId w:val="2"/>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proyectos institucionales, orientados a investigar las prioridades identificadas por entidades no empresariales para la solución de problemas concretos</w:t>
      </w:r>
    </w:p>
    <w:p w:rsidR="002625DA" w:rsidRPr="003263E9" w:rsidRDefault="002625DA" w:rsidP="003263E9">
      <w:pPr>
        <w:numPr>
          <w:ilvl w:val="0"/>
          <w:numId w:val="2"/>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proyectos empresariales, dirigidos a solucionar problemas prioritarios específicos de las empresas o los grupos empresariales.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26% del total de las instituciones cubanas dedicadas a la ciencia se ocupa de la investigación, el desarrollo y la innovación para la salud y pertenece al Ministerio de Salud Pública (MINSAP), el Grupo de las Industrias Biotecnológica y Farmacéutica (</w:t>
      </w: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las universidades y otros sectores (</w:t>
      </w:r>
      <w:hyperlink r:id="rId18" w:anchor="B4" w:history="1">
        <w:r w:rsidRPr="003263E9">
          <w:rPr>
            <w:rFonts w:ascii="Arial" w:eastAsia="Times New Roman" w:hAnsi="Arial" w:cs="Arial"/>
            <w:color w:val="0000FF"/>
            <w:sz w:val="24"/>
            <w:szCs w:val="24"/>
            <w:u w:val="single"/>
            <w:lang w:eastAsia="es-ES"/>
          </w:rPr>
          <w:t>4</w:t>
        </w:r>
      </w:hyperlink>
      <w:r w:rsidRPr="003263E9">
        <w:rPr>
          <w:rFonts w:ascii="Arial" w:eastAsia="Times New Roman" w:hAnsi="Arial" w:cs="Arial"/>
          <w:sz w:val="24"/>
          <w:szCs w:val="24"/>
          <w:lang w:eastAsia="es-ES"/>
        </w:rPr>
        <w:t>). El MINSAP decide las prioridades del sector en armonía con los lineamientos de la política económica y social del país (</w:t>
      </w:r>
      <w:hyperlink r:id="rId19" w:anchor="B5" w:history="1">
        <w:r w:rsidRPr="003263E9">
          <w:rPr>
            <w:rFonts w:ascii="Arial" w:eastAsia="Times New Roman" w:hAnsi="Arial" w:cs="Arial"/>
            <w:color w:val="0000FF"/>
            <w:sz w:val="24"/>
            <w:szCs w:val="24"/>
            <w:u w:val="single"/>
            <w:lang w:eastAsia="es-ES"/>
          </w:rPr>
          <w:t>5</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El Estado provee financiamiento para ejecutar los programas y los proyectos de investigación, innovación y desarrollo, a todos los niveles. En el 2016, el presupuesto destinado por el Estado a la ciencia y la tecnología en el sector de la salud ocupó el 35,4% del total asignado a la ciencia y la tecnología en el país (</w:t>
      </w:r>
      <w:hyperlink r:id="rId20" w:anchor="B6" w:history="1">
        <w:r w:rsidRPr="003263E9">
          <w:rPr>
            <w:rFonts w:ascii="Arial" w:eastAsia="Times New Roman" w:hAnsi="Arial" w:cs="Arial"/>
            <w:color w:val="0000FF"/>
            <w:sz w:val="24"/>
            <w:szCs w:val="24"/>
            <w:u w:val="single"/>
            <w:lang w:eastAsia="es-ES"/>
          </w:rPr>
          <w:t>6</w:t>
        </w:r>
      </w:hyperlink>
      <w:r w:rsidRPr="003263E9">
        <w:rPr>
          <w:rFonts w:ascii="Arial" w:eastAsia="Times New Roman" w:hAnsi="Arial" w:cs="Arial"/>
          <w:sz w:val="24"/>
          <w:szCs w:val="24"/>
          <w:lang w:eastAsia="es-ES"/>
        </w:rPr>
        <w:t>). Otras fuentes de financiamiento son las empresas, los préstamos bancarios, las agencias internacionales, las organizaciones no gubernamentales, las donaciones y los convenios de colaboración con otros países (</w:t>
      </w:r>
      <w:hyperlink r:id="rId21" w:anchor="B1" w:history="1">
        <w:r w:rsidRPr="003263E9">
          <w:rPr>
            <w:rFonts w:ascii="Arial" w:eastAsia="Times New Roman" w:hAnsi="Arial" w:cs="Arial"/>
            <w:color w:val="0000FF"/>
            <w:sz w:val="24"/>
            <w:szCs w:val="24"/>
            <w:u w:val="single"/>
            <w:lang w:eastAsia="es-ES"/>
          </w:rPr>
          <w:t>1</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 el informe del 2013, la Directora de la Organización Mundial de la Salud (OMS) expresó: “Todas las naciones deberían ser productoras de investigaciones tanto como consumidoras […]. Sin embargo, […] es necesario sobre todo colmar la brecha existente entre los conocimientos y la acción” (</w:t>
      </w:r>
      <w:hyperlink r:id="rId22" w:anchor="B7" w:history="1">
        <w:r w:rsidRPr="003263E9">
          <w:rPr>
            <w:rFonts w:ascii="Arial" w:eastAsia="Times New Roman" w:hAnsi="Arial" w:cs="Arial"/>
            <w:color w:val="0000FF"/>
            <w:sz w:val="24"/>
            <w:szCs w:val="24"/>
            <w:u w:val="single"/>
            <w:lang w:eastAsia="es-ES"/>
          </w:rPr>
          <w:t>7</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 Cuba se ha trabajado sistemáticamente en ese sentido. El Sistema de Ciencia e Innovación Tecnológica para la Salud (SCITS) es único e integral; como principios, concibe la interdependencia entre la docencia, los servicios y la investigación, y la incorporación de los avances científicos a la práctica social (</w:t>
      </w:r>
      <w:hyperlink r:id="rId23" w:anchor="B8" w:history="1">
        <w:r w:rsidRPr="003263E9">
          <w:rPr>
            <w:rFonts w:ascii="Arial" w:eastAsia="Times New Roman" w:hAnsi="Arial" w:cs="Arial"/>
            <w:color w:val="0000FF"/>
            <w:sz w:val="24"/>
            <w:szCs w:val="24"/>
            <w:u w:val="single"/>
            <w:lang w:eastAsia="es-ES"/>
          </w:rPr>
          <w:t>8</w:t>
        </w:r>
      </w:hyperlink>
      <w:r w:rsidRPr="003263E9">
        <w:rPr>
          <w:rFonts w:ascii="Arial" w:eastAsia="Times New Roman" w:hAnsi="Arial" w:cs="Arial"/>
          <w:sz w:val="24"/>
          <w:szCs w:val="24"/>
          <w:lang w:eastAsia="es-ES"/>
        </w:rPr>
        <w:t>). Este enfoque permite estudiar los problemas y las necesidades de salud en los tres niveles de atención ( primario, secundario y terciario), con alternativas de solución de acuerdo con una perspectiva sectorial, intersectorial, multidisciplinaria y con apego a la cultura local (</w:t>
      </w:r>
      <w:hyperlink r:id="rId24" w:anchor="B9" w:history="1">
        <w:r w:rsidRPr="003263E9">
          <w:rPr>
            <w:rFonts w:ascii="Arial" w:eastAsia="Times New Roman" w:hAnsi="Arial" w:cs="Arial"/>
            <w:color w:val="0000FF"/>
            <w:sz w:val="24"/>
            <w:szCs w:val="24"/>
            <w:u w:val="single"/>
            <w:lang w:eastAsia="es-ES"/>
          </w:rPr>
          <w:t>9</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desarrollo actual del SCITS se debe a la voluntad y la atención prioritaria que el Estado le otorga a la investigación, la innovación y el desarrollo de productos y servicios para satisfacer las necesidades de salud de la población. Por ello, se garantizan las condiciones, los recursos y la formación del capital humano, de manera que en sus programas y proyectos se desarrollen acciones que contribuyan al bienestar de la población, la equidad y la eficiencia (</w:t>
      </w:r>
      <w:hyperlink r:id="rId25" w:anchor="B10" w:history="1">
        <w:r w:rsidRPr="003263E9">
          <w:rPr>
            <w:rFonts w:ascii="Arial" w:eastAsia="Times New Roman" w:hAnsi="Arial" w:cs="Arial"/>
            <w:color w:val="0000FF"/>
            <w:sz w:val="24"/>
            <w:szCs w:val="24"/>
            <w:u w:val="single"/>
            <w:lang w:eastAsia="es-ES"/>
          </w:rPr>
          <w:t>10</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1"/>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SISTEMA DE CIENCIA E INNOVACIÓN TECNOLÓGICA PARA LA SALUD EN CUBA</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SCITS está organizado en 37 entidades de ciencia e innovación tecnológica: 16 centros de investigación, 3 de servicios científico-tecnológicos y 18 unidades de desarrollo e innovación que se subordinan en lo administrativo al MINSAP y metodológicamente al CITMA. Coadyuvan a su funcionamiento las sociedades científicas de la salud y otras organizaciones enfocadas en la innovación tecnológica para sustituir importaciones (</w:t>
      </w:r>
      <w:proofErr w:type="spellStart"/>
      <w:r w:rsidRPr="003263E9">
        <w:rPr>
          <w:rFonts w:ascii="Arial" w:eastAsia="Times New Roman" w:hAnsi="Arial" w:cs="Arial"/>
          <w:sz w:val="24"/>
          <w:szCs w:val="24"/>
          <w:lang w:eastAsia="es-ES"/>
        </w:rPr>
        <w:t>e.g</w:t>
      </w:r>
      <w:proofErr w:type="spellEnd"/>
      <w:r w:rsidRPr="003263E9">
        <w:rPr>
          <w:rFonts w:ascii="Arial" w:eastAsia="Times New Roman" w:hAnsi="Arial" w:cs="Arial"/>
          <w:sz w:val="24"/>
          <w:szCs w:val="24"/>
          <w:lang w:eastAsia="es-ES"/>
        </w:rPr>
        <w:t xml:space="preserve">., la Asociación Nacional de Innovadores y Racionalizadores, las Brigadas Técnicas Juveniles y el Fórum de Ciencia y Técnica). Este sistema cuenta con más de 20 000 trabajadores de diferentes categorías ocupacionales ( </w:t>
      </w:r>
      <w:hyperlink r:id="rId26" w:tgtFrame="table" w:history="1">
        <w:r w:rsidRPr="003263E9">
          <w:rPr>
            <w:rFonts w:ascii="Arial" w:eastAsia="Times New Roman" w:hAnsi="Arial" w:cs="Arial"/>
            <w:color w:val="0000FF"/>
            <w:sz w:val="24"/>
            <w:szCs w:val="24"/>
            <w:u w:val="single"/>
            <w:lang w:eastAsia="es-ES"/>
          </w:rPr>
          <w:t>cuadro 1</w:t>
        </w:r>
      </w:hyperlink>
      <w:r w:rsidRPr="003263E9">
        <w:rPr>
          <w:rFonts w:ascii="Arial" w:eastAsia="Times New Roman" w:hAnsi="Arial" w:cs="Arial"/>
          <w:sz w:val="24"/>
          <w:szCs w:val="24"/>
          <w:lang w:eastAsia="es-ES"/>
        </w:rPr>
        <w:t>). Además de la investigación, estos centros imparten docencia de pre- y posgrado y brindan servicios especializados a la población. Acorde con la política del CITMA, el MINSAP llevó a cabo un análisis de la situación de la ciencia y —en función de los cambios en el estado de salud de la población, la disponibilidad de recursos y su necesaria optimización— concentró las prioridades de investigación del período 2012–2016 en cinco programas nacionales (</w:t>
      </w:r>
      <w:hyperlink r:id="rId27" w:tgtFrame="table" w:history="1">
        <w:r w:rsidRPr="003263E9">
          <w:rPr>
            <w:rFonts w:ascii="Arial" w:eastAsia="Times New Roman" w:hAnsi="Arial" w:cs="Arial"/>
            <w:color w:val="0000FF"/>
            <w:sz w:val="24"/>
            <w:szCs w:val="24"/>
            <w:u w:val="single"/>
            <w:lang w:eastAsia="es-ES"/>
          </w:rPr>
          <w:t>cuadro 2</w:t>
        </w:r>
      </w:hyperlink>
      <w:r w:rsidRPr="003263E9">
        <w:rPr>
          <w:rFonts w:ascii="Arial" w:eastAsia="Times New Roman" w:hAnsi="Arial" w:cs="Arial"/>
          <w:sz w:val="24"/>
          <w:szCs w:val="24"/>
          <w:lang w:eastAsia="es-ES"/>
        </w:rPr>
        <w:t>), cuya justificación es la siguiente (</w:t>
      </w:r>
      <w:hyperlink r:id="rId28" w:anchor="B11" w:history="1">
        <w:r w:rsidRPr="003263E9">
          <w:rPr>
            <w:rFonts w:ascii="Arial" w:eastAsia="Times New Roman" w:hAnsi="Arial" w:cs="Arial"/>
            <w:color w:val="0000FF"/>
            <w:sz w:val="24"/>
            <w:szCs w:val="24"/>
            <w:u w:val="single"/>
            <w:lang w:eastAsia="es-ES"/>
          </w:rPr>
          <w:t>11</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lastRenderedPageBreak/>
        <w:t>CUADRO 1</w:t>
      </w:r>
    </w:p>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Entidades de ciencia e innovación tecnológica en el sector de la salud, según su tipo y misión. Cuba, 2016</w:t>
      </w:r>
      <w:r w:rsidRPr="003263E9">
        <w:rPr>
          <w:rFonts w:ascii="Arial" w:eastAsia="Times New Roman" w:hAnsi="Arial" w:cs="Arial"/>
          <w:b/>
          <w:bCs/>
          <w:sz w:val="24"/>
          <w:szCs w:val="24"/>
          <w:vertAlign w:val="superscript"/>
          <w:lang w:eastAsia="es-ES"/>
        </w:rPr>
        <w: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86"/>
        <w:gridCol w:w="634"/>
        <w:gridCol w:w="2884"/>
        <w:gridCol w:w="3436"/>
      </w:tblGrid>
      <w:tr w:rsidR="002625DA" w:rsidRPr="003263E9" w:rsidTr="002625DA">
        <w:trPr>
          <w:tblHeade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Tipo</w:t>
            </w:r>
          </w:p>
        </w:tc>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Total</w:t>
            </w:r>
          </w:p>
        </w:tc>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proofErr w:type="spellStart"/>
            <w:r w:rsidRPr="003263E9">
              <w:rPr>
                <w:rFonts w:ascii="Arial" w:eastAsia="Times New Roman" w:hAnsi="Arial" w:cs="Arial"/>
                <w:b/>
                <w:bCs/>
                <w:sz w:val="24"/>
                <w:szCs w:val="24"/>
                <w:lang w:eastAsia="es-ES"/>
              </w:rPr>
              <w:t>Institución</w:t>
            </w:r>
            <w:r w:rsidRPr="003263E9">
              <w:rPr>
                <w:rFonts w:ascii="Arial" w:eastAsia="Times New Roman" w:hAnsi="Arial" w:cs="Arial"/>
                <w:b/>
                <w:bCs/>
                <w:sz w:val="24"/>
                <w:szCs w:val="24"/>
                <w:vertAlign w:val="superscript"/>
                <w:lang w:eastAsia="es-ES"/>
              </w:rPr>
              <w:t>b</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Misión</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Centros de investigación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16</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Instituto Nacional de Angiología y Cirugía Vascular </w:t>
            </w:r>
            <w:r w:rsidRPr="003263E9">
              <w:rPr>
                <w:rFonts w:ascii="Arial" w:eastAsia="Times New Roman" w:hAnsi="Arial" w:cs="Arial"/>
                <w:sz w:val="24"/>
                <w:szCs w:val="24"/>
                <w:lang w:eastAsia="es-ES"/>
              </w:rPr>
              <w:br/>
              <w:t xml:space="preserve">Instituto Nacional de Endocrinología y Enfermedades Metabólicas </w:t>
            </w:r>
            <w:r w:rsidRPr="003263E9">
              <w:rPr>
                <w:rFonts w:ascii="Arial" w:eastAsia="Times New Roman" w:hAnsi="Arial" w:cs="Arial"/>
                <w:sz w:val="24"/>
                <w:szCs w:val="24"/>
                <w:lang w:eastAsia="es-ES"/>
              </w:rPr>
              <w:br/>
              <w:t xml:space="preserve">Instituto Nacional de Higiene, Epidemiología y Microbiología </w:t>
            </w:r>
            <w:r w:rsidRPr="003263E9">
              <w:rPr>
                <w:rFonts w:ascii="Arial" w:eastAsia="Times New Roman" w:hAnsi="Arial" w:cs="Arial"/>
                <w:sz w:val="24"/>
                <w:szCs w:val="24"/>
                <w:lang w:eastAsia="es-ES"/>
              </w:rPr>
              <w:br/>
              <w:t xml:space="preserve">Instituto Nacional de Salud de los Trabajadores </w:t>
            </w:r>
            <w:r w:rsidRPr="003263E9">
              <w:rPr>
                <w:rFonts w:ascii="Arial" w:eastAsia="Times New Roman" w:hAnsi="Arial" w:cs="Arial"/>
                <w:sz w:val="24"/>
                <w:szCs w:val="24"/>
                <w:lang w:eastAsia="es-ES"/>
              </w:rPr>
              <w:br/>
              <w:t xml:space="preserve">Instituto de Cardiología y Cirugía Cardiovascular </w:t>
            </w:r>
            <w:r w:rsidRPr="003263E9">
              <w:rPr>
                <w:rFonts w:ascii="Arial" w:eastAsia="Times New Roman" w:hAnsi="Arial" w:cs="Arial"/>
                <w:sz w:val="24"/>
                <w:szCs w:val="24"/>
                <w:lang w:eastAsia="es-ES"/>
              </w:rPr>
              <w:br/>
              <w:t xml:space="preserve">Instituto de Gastroenterología </w:t>
            </w:r>
            <w:r w:rsidRPr="003263E9">
              <w:rPr>
                <w:rFonts w:ascii="Arial" w:eastAsia="Times New Roman" w:hAnsi="Arial" w:cs="Arial"/>
                <w:sz w:val="24"/>
                <w:szCs w:val="24"/>
                <w:lang w:eastAsia="es-ES"/>
              </w:rPr>
              <w:br/>
              <w:t xml:space="preserve">Instituto de Hematología e Inmunología </w:t>
            </w:r>
            <w:r w:rsidRPr="003263E9">
              <w:rPr>
                <w:rFonts w:ascii="Arial" w:eastAsia="Times New Roman" w:hAnsi="Arial" w:cs="Arial"/>
                <w:sz w:val="24"/>
                <w:szCs w:val="24"/>
                <w:lang w:eastAsia="es-ES"/>
              </w:rPr>
              <w:br/>
              <w:t xml:space="preserve">Instituto de Medicina Tropical Pedro </w:t>
            </w:r>
            <w:proofErr w:type="spellStart"/>
            <w:r w:rsidRPr="003263E9">
              <w:rPr>
                <w:rFonts w:ascii="Arial" w:eastAsia="Times New Roman" w:hAnsi="Arial" w:cs="Arial"/>
                <w:sz w:val="24"/>
                <w:szCs w:val="24"/>
                <w:lang w:eastAsia="es-ES"/>
              </w:rPr>
              <w:t>Kourí</w:t>
            </w:r>
            <w:proofErr w:type="spellEnd"/>
            <w:r w:rsidRPr="003263E9">
              <w:rPr>
                <w:rFonts w:ascii="Arial" w:eastAsia="Times New Roman" w:hAnsi="Arial" w:cs="Arial"/>
                <w:sz w:val="24"/>
                <w:szCs w:val="24"/>
                <w:lang w:eastAsia="es-ES"/>
              </w:rPr>
              <w:t xml:space="preserve"> </w:t>
            </w:r>
            <w:r w:rsidRPr="003263E9">
              <w:rPr>
                <w:rFonts w:ascii="Arial" w:eastAsia="Times New Roman" w:hAnsi="Arial" w:cs="Arial"/>
                <w:sz w:val="24"/>
                <w:szCs w:val="24"/>
                <w:lang w:eastAsia="es-ES"/>
              </w:rPr>
              <w:br/>
              <w:t xml:space="preserve">Instituto de Nefrología Dr. Abelardo </w:t>
            </w:r>
            <w:proofErr w:type="spellStart"/>
            <w:r w:rsidRPr="003263E9">
              <w:rPr>
                <w:rFonts w:ascii="Arial" w:eastAsia="Times New Roman" w:hAnsi="Arial" w:cs="Arial"/>
                <w:sz w:val="24"/>
                <w:szCs w:val="24"/>
                <w:lang w:eastAsia="es-ES"/>
              </w:rPr>
              <w:t>Buch</w:t>
            </w:r>
            <w:proofErr w:type="spellEnd"/>
            <w:r w:rsidRPr="003263E9">
              <w:rPr>
                <w:rFonts w:ascii="Arial" w:eastAsia="Times New Roman" w:hAnsi="Arial" w:cs="Arial"/>
                <w:sz w:val="24"/>
                <w:szCs w:val="24"/>
                <w:lang w:eastAsia="es-ES"/>
              </w:rPr>
              <w:t xml:space="preserve"> López </w:t>
            </w:r>
            <w:r w:rsidRPr="003263E9">
              <w:rPr>
                <w:rFonts w:ascii="Arial" w:eastAsia="Times New Roman" w:hAnsi="Arial" w:cs="Arial"/>
                <w:sz w:val="24"/>
                <w:szCs w:val="24"/>
                <w:lang w:eastAsia="es-ES"/>
              </w:rPr>
              <w:br/>
              <w:t xml:space="preserve">Instituto de Neurología y Neurocirugía Profesor Dr. José Rafael Estrada González </w:t>
            </w:r>
            <w:r w:rsidRPr="003263E9">
              <w:rPr>
                <w:rFonts w:ascii="Arial" w:eastAsia="Times New Roman" w:hAnsi="Arial" w:cs="Arial"/>
                <w:sz w:val="24"/>
                <w:szCs w:val="24"/>
                <w:lang w:eastAsia="es-ES"/>
              </w:rPr>
              <w:br/>
              <w:t xml:space="preserve">Instituto de Oncología y Radiobiología </w:t>
            </w:r>
            <w:r w:rsidRPr="003263E9">
              <w:rPr>
                <w:rFonts w:ascii="Arial" w:eastAsia="Times New Roman" w:hAnsi="Arial" w:cs="Arial"/>
                <w:sz w:val="24"/>
                <w:szCs w:val="24"/>
                <w:lang w:eastAsia="es-ES"/>
              </w:rPr>
              <w:br/>
              <w:t xml:space="preserve">Centro Nacional de Cirugía de Mínimo Acceso </w:t>
            </w:r>
            <w:r w:rsidRPr="003263E9">
              <w:rPr>
                <w:rFonts w:ascii="Arial" w:eastAsia="Times New Roman" w:hAnsi="Arial" w:cs="Arial"/>
                <w:sz w:val="24"/>
                <w:szCs w:val="24"/>
                <w:lang w:eastAsia="es-ES"/>
              </w:rPr>
              <w:br/>
              <w:t xml:space="preserve">Centro Nacional de Genética Médica </w:t>
            </w:r>
            <w:r w:rsidRPr="003263E9">
              <w:rPr>
                <w:rFonts w:ascii="Arial" w:eastAsia="Times New Roman" w:hAnsi="Arial" w:cs="Arial"/>
                <w:sz w:val="24"/>
                <w:szCs w:val="24"/>
                <w:lang w:eastAsia="es-ES"/>
              </w:rPr>
              <w:br/>
              <w:t xml:space="preserve">Centro Internacional de Restauración Neurológica </w:t>
            </w:r>
            <w:r w:rsidRPr="003263E9">
              <w:rPr>
                <w:rFonts w:ascii="Arial" w:eastAsia="Times New Roman" w:hAnsi="Arial" w:cs="Arial"/>
                <w:sz w:val="24"/>
                <w:szCs w:val="24"/>
                <w:lang w:eastAsia="es-ES"/>
              </w:rPr>
              <w:br/>
              <w:t xml:space="preserve">Centro de Investigaciones sobre Longevidad, Envejecimiento y Salud </w:t>
            </w:r>
            <w:r w:rsidRPr="003263E9">
              <w:rPr>
                <w:rFonts w:ascii="Arial" w:eastAsia="Times New Roman" w:hAnsi="Arial" w:cs="Arial"/>
                <w:sz w:val="24"/>
                <w:szCs w:val="24"/>
                <w:lang w:eastAsia="es-ES"/>
              </w:rPr>
              <w:br/>
              <w:t xml:space="preserve">Centro para la Investigación y Rehabilitación de las </w:t>
            </w:r>
            <w:r w:rsidRPr="003263E9">
              <w:rPr>
                <w:rFonts w:ascii="Arial" w:eastAsia="Times New Roman" w:hAnsi="Arial" w:cs="Arial"/>
                <w:sz w:val="24"/>
                <w:szCs w:val="24"/>
                <w:lang w:eastAsia="es-ES"/>
              </w:rPr>
              <w:lastRenderedPageBreak/>
              <w:t xml:space="preserve">Ataxias Hereditarias Carlos J. </w:t>
            </w:r>
            <w:proofErr w:type="spellStart"/>
            <w:r w:rsidRPr="003263E9">
              <w:rPr>
                <w:rFonts w:ascii="Arial" w:eastAsia="Times New Roman" w:hAnsi="Arial" w:cs="Arial"/>
                <w:sz w:val="24"/>
                <w:szCs w:val="24"/>
                <w:lang w:eastAsia="es-ES"/>
              </w:rPr>
              <w:t>Finlay</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Investigaciones básicas y aplicadas relacionadas con la carga de mortalidad, morbilidad, riesgos y daños a la salud, según las especialidades</w:t>
            </w:r>
          </w:p>
        </w:tc>
      </w:tr>
      <w:tr w:rsidR="002625DA" w:rsidRPr="003263E9" w:rsidTr="002625DA">
        <w:trPr>
          <w:tblCellSpacing w:w="15" w:type="dxa"/>
        </w:trPr>
        <w:tc>
          <w:tcPr>
            <w:tcW w:w="0" w:type="auto"/>
            <w:vMerge w:val="restart"/>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Centros de servicios científicos y tecnológicos</w:t>
            </w:r>
          </w:p>
        </w:tc>
        <w:tc>
          <w:tcPr>
            <w:tcW w:w="0" w:type="auto"/>
            <w:vMerge w:val="restart"/>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3</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 Nacional Coordinador de Ensayos Clínicos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Vigilancia y control de los ensayos clínicos</w:t>
            </w:r>
          </w:p>
        </w:tc>
      </w:tr>
      <w:tr w:rsidR="002625DA" w:rsidRPr="003263E9" w:rsidTr="002625DA">
        <w:trPr>
          <w:tblCellSpacing w:w="15" w:type="dxa"/>
        </w:trPr>
        <w:tc>
          <w:tcPr>
            <w:tcW w:w="0" w:type="auto"/>
            <w:vMerge/>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p>
        </w:tc>
        <w:tc>
          <w:tcPr>
            <w:tcW w:w="0" w:type="auto"/>
            <w:vMerge/>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 Nacional de Información de Ciencias Médicas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Investigaciones dirigidas al fortalecimiento del Sistema de Información Científico-Técnica y en el campo de las ciencias de la información en la salud</w:t>
            </w:r>
          </w:p>
        </w:tc>
      </w:tr>
      <w:tr w:rsidR="002625DA" w:rsidRPr="003263E9" w:rsidTr="002625DA">
        <w:trPr>
          <w:tblCellSpacing w:w="15" w:type="dxa"/>
        </w:trPr>
        <w:tc>
          <w:tcPr>
            <w:tcW w:w="0" w:type="auto"/>
            <w:vMerge/>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p>
        </w:tc>
        <w:tc>
          <w:tcPr>
            <w:tcW w:w="0" w:type="auto"/>
            <w:vMerge/>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Centro para el Control Estatal de Medicamentos, Equipos y Dispositivos Médicos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Entidad reguladora nacional</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Unidades de desarrollo e innovación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18</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Cardiocentro</w:t>
            </w:r>
            <w:proofErr w:type="spellEnd"/>
            <w:r w:rsidRPr="003263E9">
              <w:rPr>
                <w:rFonts w:ascii="Arial" w:eastAsia="Times New Roman" w:hAnsi="Arial" w:cs="Arial"/>
                <w:sz w:val="24"/>
                <w:szCs w:val="24"/>
                <w:lang w:eastAsia="es-ES"/>
              </w:rPr>
              <w:t xml:space="preserve"> Ernesto Che Guevara (Villa Clara) </w:t>
            </w:r>
            <w:r w:rsidRPr="003263E9">
              <w:rPr>
                <w:rFonts w:ascii="Arial" w:eastAsia="Times New Roman" w:hAnsi="Arial" w:cs="Arial"/>
                <w:sz w:val="24"/>
                <w:szCs w:val="24"/>
                <w:lang w:eastAsia="es-ES"/>
              </w:rPr>
              <w:br/>
            </w:r>
            <w:proofErr w:type="spellStart"/>
            <w:r w:rsidRPr="003263E9">
              <w:rPr>
                <w:rFonts w:ascii="Arial" w:eastAsia="Times New Roman" w:hAnsi="Arial" w:cs="Arial"/>
                <w:sz w:val="24"/>
                <w:szCs w:val="24"/>
                <w:lang w:eastAsia="es-ES"/>
              </w:rPr>
              <w:t>Cardiocentro</w:t>
            </w:r>
            <w:proofErr w:type="spellEnd"/>
            <w:r w:rsidRPr="003263E9">
              <w:rPr>
                <w:rFonts w:ascii="Arial" w:eastAsia="Times New Roman" w:hAnsi="Arial" w:cs="Arial"/>
                <w:sz w:val="24"/>
                <w:szCs w:val="24"/>
                <w:lang w:eastAsia="es-ES"/>
              </w:rPr>
              <w:t xml:space="preserve"> Pediátrico William Soler </w:t>
            </w:r>
            <w:r w:rsidRPr="003263E9">
              <w:rPr>
                <w:rFonts w:ascii="Arial" w:eastAsia="Times New Roman" w:hAnsi="Arial" w:cs="Arial"/>
                <w:sz w:val="24"/>
                <w:szCs w:val="24"/>
                <w:lang w:eastAsia="es-ES"/>
              </w:rPr>
              <w:br/>
              <w:t xml:space="preserve">Centro de Desarrollo de las Ciencias Sociales y Humanísticas </w:t>
            </w:r>
            <w:r w:rsidRPr="003263E9">
              <w:rPr>
                <w:rFonts w:ascii="Arial" w:eastAsia="Times New Roman" w:hAnsi="Arial" w:cs="Arial"/>
                <w:sz w:val="24"/>
                <w:szCs w:val="24"/>
                <w:lang w:eastAsia="es-ES"/>
              </w:rPr>
              <w:br/>
              <w:t xml:space="preserve">Centro de Inmunología y Productos Biotecnológicos </w:t>
            </w:r>
            <w:r w:rsidRPr="003263E9">
              <w:rPr>
                <w:rFonts w:ascii="Arial" w:eastAsia="Times New Roman" w:hAnsi="Arial" w:cs="Arial"/>
                <w:sz w:val="24"/>
                <w:szCs w:val="24"/>
                <w:lang w:eastAsia="es-ES"/>
              </w:rPr>
              <w:br/>
              <w:t xml:space="preserve">Centro de Investigación y Referencia de la Ateroesclerosis </w:t>
            </w:r>
            <w:r w:rsidRPr="003263E9">
              <w:rPr>
                <w:rFonts w:ascii="Arial" w:eastAsia="Times New Roman" w:hAnsi="Arial" w:cs="Arial"/>
                <w:sz w:val="24"/>
                <w:szCs w:val="24"/>
                <w:lang w:eastAsia="es-ES"/>
              </w:rPr>
              <w:br/>
              <w:t xml:space="preserve">Centro de Toxicología y Biomedicina </w:t>
            </w:r>
            <w:r w:rsidRPr="003263E9">
              <w:rPr>
                <w:rFonts w:ascii="Arial" w:eastAsia="Times New Roman" w:hAnsi="Arial" w:cs="Arial"/>
                <w:sz w:val="24"/>
                <w:szCs w:val="24"/>
                <w:lang w:eastAsia="es-ES"/>
              </w:rPr>
              <w:br/>
              <w:t xml:space="preserve">Escuela Nacional de Salud Pública </w:t>
            </w:r>
            <w:r w:rsidRPr="003263E9">
              <w:rPr>
                <w:rFonts w:ascii="Arial" w:eastAsia="Times New Roman" w:hAnsi="Arial" w:cs="Arial"/>
                <w:sz w:val="24"/>
                <w:szCs w:val="24"/>
                <w:lang w:eastAsia="es-ES"/>
              </w:rPr>
              <w:br/>
              <w:t xml:space="preserve">Hospital Clínico Quirúrgico Hermanos </w:t>
            </w:r>
            <w:proofErr w:type="spellStart"/>
            <w:r w:rsidRPr="003263E9">
              <w:rPr>
                <w:rFonts w:ascii="Arial" w:eastAsia="Times New Roman" w:hAnsi="Arial" w:cs="Arial"/>
                <w:sz w:val="24"/>
                <w:szCs w:val="24"/>
                <w:lang w:eastAsia="es-ES"/>
              </w:rPr>
              <w:t>Ameijeiras</w:t>
            </w:r>
            <w:proofErr w:type="spellEnd"/>
            <w:r w:rsidRPr="003263E9">
              <w:rPr>
                <w:rFonts w:ascii="Arial" w:eastAsia="Times New Roman" w:hAnsi="Arial" w:cs="Arial"/>
                <w:sz w:val="24"/>
                <w:szCs w:val="24"/>
                <w:lang w:eastAsia="es-ES"/>
              </w:rPr>
              <w:t xml:space="preserve"> </w:t>
            </w:r>
            <w:r w:rsidRPr="003263E9">
              <w:rPr>
                <w:rFonts w:ascii="Arial" w:eastAsia="Times New Roman" w:hAnsi="Arial" w:cs="Arial"/>
                <w:sz w:val="24"/>
                <w:szCs w:val="24"/>
                <w:lang w:eastAsia="es-ES"/>
              </w:rPr>
              <w:br/>
              <w:t xml:space="preserve">Hospital Clínico Quirúrgico Juan Bruno Zayas (Santiago de Cuba) </w:t>
            </w:r>
            <w:r w:rsidRPr="003263E9">
              <w:rPr>
                <w:rFonts w:ascii="Arial" w:eastAsia="Times New Roman" w:hAnsi="Arial" w:cs="Arial"/>
                <w:sz w:val="24"/>
                <w:szCs w:val="24"/>
                <w:lang w:eastAsia="es-ES"/>
              </w:rPr>
              <w:br/>
              <w:t xml:space="preserve">Hospital General Universitario Dr. Gustavo </w:t>
            </w:r>
            <w:proofErr w:type="spellStart"/>
            <w:r w:rsidRPr="003263E9">
              <w:rPr>
                <w:rFonts w:ascii="Arial" w:eastAsia="Times New Roman" w:hAnsi="Arial" w:cs="Arial"/>
                <w:sz w:val="24"/>
                <w:szCs w:val="24"/>
                <w:lang w:eastAsia="es-ES"/>
              </w:rPr>
              <w:t>Aldereguía</w:t>
            </w:r>
            <w:proofErr w:type="spellEnd"/>
            <w:r w:rsidRPr="003263E9">
              <w:rPr>
                <w:rFonts w:ascii="Arial" w:eastAsia="Times New Roman" w:hAnsi="Arial" w:cs="Arial"/>
                <w:sz w:val="24"/>
                <w:szCs w:val="24"/>
                <w:lang w:eastAsia="es-ES"/>
              </w:rPr>
              <w:t xml:space="preserve"> Lima (Cienfuegos) </w:t>
            </w:r>
            <w:r w:rsidRPr="003263E9">
              <w:rPr>
                <w:rFonts w:ascii="Arial" w:eastAsia="Times New Roman" w:hAnsi="Arial" w:cs="Arial"/>
                <w:sz w:val="24"/>
                <w:szCs w:val="24"/>
                <w:lang w:eastAsia="es-ES"/>
              </w:rPr>
              <w:br/>
              <w:t xml:space="preserve">Hospital Pediátrico Universitario Juan Manuel Márquez </w:t>
            </w:r>
            <w:r w:rsidRPr="003263E9">
              <w:rPr>
                <w:rFonts w:ascii="Arial" w:eastAsia="Times New Roman" w:hAnsi="Arial" w:cs="Arial"/>
                <w:sz w:val="24"/>
                <w:szCs w:val="24"/>
                <w:lang w:eastAsia="es-ES"/>
              </w:rPr>
              <w:br/>
              <w:t xml:space="preserve">Hospital Pediátrico Universitario William Soler </w:t>
            </w:r>
            <w:r w:rsidRPr="003263E9">
              <w:rPr>
                <w:rFonts w:ascii="Arial" w:eastAsia="Times New Roman" w:hAnsi="Arial" w:cs="Arial"/>
                <w:sz w:val="24"/>
                <w:szCs w:val="24"/>
                <w:lang w:eastAsia="es-ES"/>
              </w:rPr>
              <w:br/>
            </w:r>
            <w:r w:rsidRPr="003263E9">
              <w:rPr>
                <w:rFonts w:ascii="Arial" w:eastAsia="Times New Roman" w:hAnsi="Arial" w:cs="Arial"/>
                <w:sz w:val="24"/>
                <w:szCs w:val="24"/>
                <w:lang w:eastAsia="es-ES"/>
              </w:rPr>
              <w:lastRenderedPageBreak/>
              <w:t xml:space="preserve">Hospital Universitario Dr. Antonio </w:t>
            </w:r>
            <w:proofErr w:type="spellStart"/>
            <w:r w:rsidRPr="003263E9">
              <w:rPr>
                <w:rFonts w:ascii="Arial" w:eastAsia="Times New Roman" w:hAnsi="Arial" w:cs="Arial"/>
                <w:sz w:val="24"/>
                <w:szCs w:val="24"/>
                <w:lang w:eastAsia="es-ES"/>
              </w:rPr>
              <w:t>Luaces</w:t>
            </w:r>
            <w:proofErr w:type="spellEnd"/>
            <w:r w:rsidRPr="003263E9">
              <w:rPr>
                <w:rFonts w:ascii="Arial" w:eastAsia="Times New Roman" w:hAnsi="Arial" w:cs="Arial"/>
                <w:sz w:val="24"/>
                <w:szCs w:val="24"/>
                <w:lang w:eastAsia="es-ES"/>
              </w:rPr>
              <w:t xml:space="preserve"> </w:t>
            </w:r>
            <w:proofErr w:type="spellStart"/>
            <w:r w:rsidRPr="003263E9">
              <w:rPr>
                <w:rFonts w:ascii="Arial" w:eastAsia="Times New Roman" w:hAnsi="Arial" w:cs="Arial"/>
                <w:sz w:val="24"/>
                <w:szCs w:val="24"/>
                <w:lang w:eastAsia="es-ES"/>
              </w:rPr>
              <w:t>Iraola</w:t>
            </w:r>
            <w:proofErr w:type="spellEnd"/>
            <w:r w:rsidRPr="003263E9">
              <w:rPr>
                <w:rFonts w:ascii="Arial" w:eastAsia="Times New Roman" w:hAnsi="Arial" w:cs="Arial"/>
                <w:sz w:val="24"/>
                <w:szCs w:val="24"/>
                <w:lang w:eastAsia="es-ES"/>
              </w:rPr>
              <w:t xml:space="preserve"> (Ciego de Ávila) </w:t>
            </w:r>
            <w:r w:rsidRPr="003263E9">
              <w:rPr>
                <w:rFonts w:ascii="Arial" w:eastAsia="Times New Roman" w:hAnsi="Arial" w:cs="Arial"/>
                <w:sz w:val="24"/>
                <w:szCs w:val="24"/>
                <w:lang w:eastAsia="es-ES"/>
              </w:rPr>
              <w:br/>
              <w:t xml:space="preserve">Instituto Cubano de Oftalmología Ramón Pando Ferrer </w:t>
            </w:r>
            <w:r w:rsidRPr="003263E9">
              <w:rPr>
                <w:rFonts w:ascii="Arial" w:eastAsia="Times New Roman" w:hAnsi="Arial" w:cs="Arial"/>
                <w:sz w:val="24"/>
                <w:szCs w:val="24"/>
                <w:lang w:eastAsia="es-ES"/>
              </w:rPr>
              <w:br/>
              <w:t xml:space="preserve">Laboratorio Central de Farmacología </w:t>
            </w:r>
            <w:r w:rsidRPr="003263E9">
              <w:rPr>
                <w:rFonts w:ascii="Arial" w:eastAsia="Times New Roman" w:hAnsi="Arial" w:cs="Arial"/>
                <w:sz w:val="24"/>
                <w:szCs w:val="24"/>
                <w:lang w:eastAsia="es-ES"/>
              </w:rPr>
              <w:br/>
              <w:t xml:space="preserve">Laboratorio de Líquido Cefalorraquídeo </w:t>
            </w:r>
            <w:r w:rsidRPr="003263E9">
              <w:rPr>
                <w:rFonts w:ascii="Arial" w:eastAsia="Times New Roman" w:hAnsi="Arial" w:cs="Arial"/>
                <w:sz w:val="24"/>
                <w:szCs w:val="24"/>
                <w:lang w:eastAsia="es-ES"/>
              </w:rPr>
              <w:br/>
              <w:t xml:space="preserve">Unidad de Investigaciones Biomédicas de Villa Clara </w:t>
            </w:r>
            <w:r w:rsidRPr="003263E9">
              <w:rPr>
                <w:rFonts w:ascii="Arial" w:eastAsia="Times New Roman" w:hAnsi="Arial" w:cs="Arial"/>
                <w:sz w:val="24"/>
                <w:szCs w:val="24"/>
                <w:lang w:eastAsia="es-ES"/>
              </w:rPr>
              <w:br/>
              <w:t>Unidad de Toxicología Experimental (Villa Clara)</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Investigaciones en sistemas y servicios de salud y tecnologías</w:t>
            </w:r>
          </w:p>
        </w:tc>
      </w:tr>
    </w:tbl>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i/>
          <w:iCs/>
          <w:sz w:val="24"/>
          <w:szCs w:val="24"/>
          <w:lang w:eastAsia="es-ES"/>
        </w:rPr>
        <w:lastRenderedPageBreak/>
        <w:t>Fuente:</w:t>
      </w:r>
      <w:r w:rsidRPr="003263E9">
        <w:rPr>
          <w:rFonts w:ascii="Arial" w:eastAsia="Times New Roman" w:hAnsi="Arial" w:cs="Arial"/>
          <w:sz w:val="24"/>
          <w:szCs w:val="24"/>
          <w:lang w:eastAsia="es-ES"/>
        </w:rPr>
        <w:t xml:space="preserve"> Elaboración de los autores a partir de los registros de la Dirección Nacional de Ciencia y Técnica del Ministerio de Salud Pública.</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CUADRO 2</w:t>
      </w:r>
    </w:p>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Programas nacionales de ciencia, tecnología e innovación en la salud. Cuba, 2012-2016</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Programa 1: Determinantes de salud, riesgos y prevención de enfermedades en los grupos vulnerables.</w:t>
      </w:r>
      <w:r w:rsidRPr="003263E9">
        <w:rPr>
          <w:rFonts w:ascii="Arial" w:eastAsia="Times New Roman" w:hAnsi="Arial" w:cs="Arial"/>
          <w:sz w:val="24"/>
          <w:szCs w:val="24"/>
          <w:lang w:eastAsia="es-ES"/>
        </w:rPr>
        <w:t xml:space="preserve"> La irrupción de nuevos actores económicos y las diferencias en los ingresos entre los diferentes grupos sociales, unidas a la situación demográfica de baja fecundidad y natalidad, el envejecimiento poblacional y la migración, imponen al Sistema Nacional de Salud (SNS) un nuevo contexto </w:t>
      </w:r>
      <w:proofErr w:type="spellStart"/>
      <w:r w:rsidRPr="003263E9">
        <w:rPr>
          <w:rFonts w:ascii="Arial" w:eastAsia="Times New Roman" w:hAnsi="Arial" w:cs="Arial"/>
          <w:sz w:val="24"/>
          <w:szCs w:val="24"/>
          <w:lang w:eastAsia="es-ES"/>
        </w:rPr>
        <w:t>sociosanitario</w:t>
      </w:r>
      <w:proofErr w:type="spellEnd"/>
      <w:r w:rsidRPr="003263E9">
        <w:rPr>
          <w:rFonts w:ascii="Arial" w:eastAsia="Times New Roman" w:hAnsi="Arial" w:cs="Arial"/>
          <w:sz w:val="24"/>
          <w:szCs w:val="24"/>
          <w:lang w:eastAsia="es-ES"/>
        </w:rPr>
        <w:t>, donde pueden verse afectados determinados grupos sociales.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Programa 2: Organización, eficiencia y calidad en los sistemas y servicios de salud.</w:t>
      </w:r>
      <w:r w:rsidRPr="003263E9">
        <w:rPr>
          <w:rFonts w:ascii="Arial" w:eastAsia="Times New Roman" w:hAnsi="Arial" w:cs="Arial"/>
          <w:sz w:val="24"/>
          <w:szCs w:val="24"/>
          <w:lang w:eastAsia="es-ES"/>
        </w:rPr>
        <w:t xml:space="preserve"> Las limitaciones impuestas a Cuba para acceder a mercados con condiciones favorables (</w:t>
      </w:r>
      <w:hyperlink r:id="rId29" w:anchor="B12" w:history="1">
        <w:r w:rsidRPr="003263E9">
          <w:rPr>
            <w:rFonts w:ascii="Arial" w:eastAsia="Times New Roman" w:hAnsi="Arial" w:cs="Arial"/>
            <w:color w:val="0000FF"/>
            <w:sz w:val="24"/>
            <w:szCs w:val="24"/>
            <w:u w:val="single"/>
            <w:lang w:eastAsia="es-ES"/>
          </w:rPr>
          <w:t>12</w:t>
        </w:r>
      </w:hyperlink>
      <w:r w:rsidRPr="003263E9">
        <w:rPr>
          <w:rFonts w:ascii="Arial" w:eastAsia="Times New Roman" w:hAnsi="Arial" w:cs="Arial"/>
          <w:sz w:val="24"/>
          <w:szCs w:val="24"/>
          <w:lang w:eastAsia="es-ES"/>
        </w:rPr>
        <w:t>) y la crisis económica mundial han precisado al SNS a priorizar y optimizar los procesos de organización, calidad y eficiencia para la sostenibilidad de las prestaciones actuales, a partir de sus concepciones y realidades.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Programa 3: Medicina natural y tradicional.</w:t>
      </w:r>
      <w:r w:rsidRPr="003263E9">
        <w:rPr>
          <w:rFonts w:ascii="Arial" w:eastAsia="Times New Roman" w:hAnsi="Arial" w:cs="Arial"/>
          <w:sz w:val="24"/>
          <w:szCs w:val="24"/>
          <w:lang w:eastAsia="es-ES"/>
        </w:rPr>
        <w:t xml:space="preserve"> Trata de preservar la cultura para la atención a la población mediante la integración de técnicas tradicionales y modernas de esta disciplina.</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Programa 4: Cáncer.</w:t>
      </w:r>
      <w:r w:rsidRPr="003263E9">
        <w:rPr>
          <w:rFonts w:ascii="Arial" w:eastAsia="Times New Roman" w:hAnsi="Arial" w:cs="Arial"/>
          <w:sz w:val="24"/>
          <w:szCs w:val="24"/>
          <w:lang w:eastAsia="es-ES"/>
        </w:rPr>
        <w:t xml:space="preserve"> Esta es la segunda causa de mortalidad en la población; este grupo de enfermedades ocasiona alrededor de 18 y 19 años de vida potencialmente perdidos en las mujeres y los hombres, respectivamente (</w:t>
      </w:r>
      <w:hyperlink r:id="rId30" w:anchor="B13" w:history="1">
        <w:r w:rsidRPr="003263E9">
          <w:rPr>
            <w:rFonts w:ascii="Arial" w:eastAsia="Times New Roman" w:hAnsi="Arial" w:cs="Arial"/>
            <w:color w:val="0000FF"/>
            <w:sz w:val="24"/>
            <w:szCs w:val="24"/>
            <w:u w:val="single"/>
            <w:lang w:eastAsia="es-ES"/>
          </w:rPr>
          <w:t>13</w:t>
        </w:r>
      </w:hyperlink>
      <w:r w:rsidRPr="003263E9">
        <w:rPr>
          <w:rFonts w:ascii="Arial" w:eastAsia="Times New Roman" w:hAnsi="Arial" w:cs="Arial"/>
          <w:sz w:val="24"/>
          <w:szCs w:val="24"/>
          <w:lang w:eastAsia="es-ES"/>
        </w:rPr>
        <w:t>). Las investigaciones están dirigidas a mejorar la prevención, el diagnóstico, la atención integral y la rehabilitación.</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lastRenderedPageBreak/>
        <w:t>Programa 5: Envejecimiento, longevidad y salud.</w:t>
      </w:r>
      <w:r w:rsidRPr="003263E9">
        <w:rPr>
          <w:rFonts w:ascii="Arial" w:eastAsia="Times New Roman" w:hAnsi="Arial" w:cs="Arial"/>
          <w:sz w:val="24"/>
          <w:szCs w:val="24"/>
          <w:lang w:eastAsia="es-ES"/>
        </w:rPr>
        <w:t xml:space="preserve"> Las personas con 60 años o más representan el 19% de la población y la tendencia de este indicador es al incremento (</w:t>
      </w:r>
      <w:hyperlink r:id="rId31" w:anchor="B13" w:history="1">
        <w:r w:rsidRPr="003263E9">
          <w:rPr>
            <w:rFonts w:ascii="Arial" w:eastAsia="Times New Roman" w:hAnsi="Arial" w:cs="Arial"/>
            <w:color w:val="0000FF"/>
            <w:sz w:val="24"/>
            <w:szCs w:val="24"/>
            <w:u w:val="single"/>
            <w:lang w:eastAsia="es-ES"/>
          </w:rPr>
          <w:t>13</w:t>
        </w:r>
      </w:hyperlink>
      <w:r w:rsidRPr="003263E9">
        <w:rPr>
          <w:rFonts w:ascii="Arial" w:eastAsia="Times New Roman" w:hAnsi="Arial" w:cs="Arial"/>
          <w:sz w:val="24"/>
          <w:szCs w:val="24"/>
          <w:lang w:eastAsia="es-ES"/>
        </w:rPr>
        <w:t>), lo que significa una mayor carga sobre los servicios sociales y de salud; las investigaciones deben contribuir a lograr un envejecimiento saludable.</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Al cierre del 2016, se estaban ejecutando más de 2 000 investigaciones, la mayoría de las cuales eran proyectos institucionales de los servicios primarios y secundarios de atención; 401 estudios de los cinco programas nacionales estaban más vinculados al nivel terciario y a instituciones de La Habana, capital del país. Los resultados alcanzados permitieron identificar nuevas prioridades de estudio para el año 2017, como la mortalidad prematura y los accidentes; la necesidad de profundizar en la investigación en ciencias básicas y medicina de avanzada (robótica, informática, nanotecnología); la evaluación de tecnologías sanitarias; y la acreditación de la calidad de las instituciones de salud.</w:t>
      </w:r>
      <w:hyperlink r:id="rId32" w:anchor="fn2" w:history="1">
        <w:r w:rsidRPr="003263E9">
          <w:rPr>
            <w:rFonts w:ascii="Arial" w:eastAsia="Times New Roman" w:hAnsi="Arial" w:cs="Arial"/>
            <w:color w:val="0000FF"/>
            <w:sz w:val="24"/>
            <w:szCs w:val="24"/>
            <w:u w:val="single"/>
            <w:vertAlign w:val="superscript"/>
            <w:lang w:eastAsia="es-ES"/>
          </w:rPr>
          <w:t>7</w:t>
        </w:r>
      </w:hyperlink>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 concepción del proceso de investigación para la salud en Cuba sigue los cánones universales: a partir de un problema —y en correspondencia con el ambiente socioeconómico, las condiciones sanitarias, los principios y los valores de la sociedad— se identifica la idea científica, se define el problema y el método, se elabora el proyecto, se ejecuta, y se evalúan los resultados para su posterior introducción y generalización en la práctica social, hasta que concluye la intervención con nuevas interrogantes (</w:t>
      </w:r>
      <w:hyperlink r:id="rId33" w:anchor="B14" w:history="1">
        <w:r w:rsidRPr="003263E9">
          <w:rPr>
            <w:rFonts w:ascii="Arial" w:eastAsia="Times New Roman" w:hAnsi="Arial" w:cs="Arial"/>
            <w:color w:val="0000FF"/>
            <w:sz w:val="24"/>
            <w:szCs w:val="24"/>
            <w:u w:val="single"/>
            <w:lang w:eastAsia="es-ES"/>
          </w:rPr>
          <w:t>14</w:t>
        </w:r>
      </w:hyperlink>
      <w:r w:rsidRPr="003263E9">
        <w:rPr>
          <w:rFonts w:ascii="Arial" w:eastAsia="Times New Roman" w:hAnsi="Arial" w:cs="Arial"/>
          <w:sz w:val="24"/>
          <w:szCs w:val="24"/>
          <w:lang w:eastAsia="es-ES"/>
        </w:rPr>
        <w:t xml:space="preserve">) </w:t>
      </w:r>
    </w:p>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Proceso de investigación en la salud. Cuba, 2016</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 conducción ética de la investigación y su rigor metodológico es responsabilidad de los investigadores, los jefes de proyecto y los directores de las instituciones, asesorados por los consejos científicos y los comités de ética de la investigación (</w:t>
      </w:r>
      <w:hyperlink r:id="rId34" w:anchor="B1" w:history="1">
        <w:r w:rsidRPr="003263E9">
          <w:rPr>
            <w:rFonts w:ascii="Arial" w:eastAsia="Times New Roman" w:hAnsi="Arial" w:cs="Arial"/>
            <w:color w:val="0000FF"/>
            <w:sz w:val="24"/>
            <w:szCs w:val="24"/>
            <w:u w:val="single"/>
            <w:lang w:eastAsia="es-ES"/>
          </w:rPr>
          <w:t>1</w:t>
        </w:r>
      </w:hyperlink>
      <w:r w:rsidRPr="003263E9">
        <w:rPr>
          <w:rFonts w:ascii="Arial" w:eastAsia="Times New Roman" w:hAnsi="Arial" w:cs="Arial"/>
          <w:sz w:val="24"/>
          <w:szCs w:val="24"/>
          <w:lang w:eastAsia="es-ES"/>
        </w:rPr>
        <w:t xml:space="preserve">, </w:t>
      </w:r>
      <w:hyperlink r:id="rId35" w:anchor="B2" w:history="1">
        <w:r w:rsidRPr="003263E9">
          <w:rPr>
            <w:rFonts w:ascii="Arial" w:eastAsia="Times New Roman" w:hAnsi="Arial" w:cs="Arial"/>
            <w:color w:val="0000FF"/>
            <w:sz w:val="24"/>
            <w:szCs w:val="24"/>
            <w:u w:val="single"/>
            <w:lang w:eastAsia="es-ES"/>
          </w:rPr>
          <w:t>2</w:t>
        </w:r>
      </w:hyperlink>
      <w:r w:rsidRPr="003263E9">
        <w:rPr>
          <w:rFonts w:ascii="Arial" w:eastAsia="Times New Roman" w:hAnsi="Arial" w:cs="Arial"/>
          <w:sz w:val="24"/>
          <w:szCs w:val="24"/>
          <w:lang w:eastAsia="es-ES"/>
        </w:rPr>
        <w:t>). A nivel nacional le corresponde al Centro para el Control Estatal de Medicamentos, Equipos y Dispositivos Médicos (CECMED) garantizar la seguridad y el cumplimiento de las regulaciones deontológicas en las personas y las comunidades.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 los proyectos relacionados con productos y servicios (medicamentos, tecnologías y programas), la concepción es de ciclo cerrado.</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En el 2012 se creó </w:t>
      </w: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xml:space="preserve"> (</w:t>
      </w:r>
      <w:hyperlink r:id="rId36" w:anchor="B15" w:history="1">
        <w:r w:rsidRPr="003263E9">
          <w:rPr>
            <w:rFonts w:ascii="Arial" w:eastAsia="Times New Roman" w:hAnsi="Arial" w:cs="Arial"/>
            <w:color w:val="0000FF"/>
            <w:sz w:val="24"/>
            <w:szCs w:val="24"/>
            <w:u w:val="single"/>
            <w:lang w:eastAsia="es-ES"/>
          </w:rPr>
          <w:t>15</w:t>
        </w:r>
      </w:hyperlink>
      <w:r w:rsidRPr="003263E9">
        <w:rPr>
          <w:rFonts w:ascii="Arial" w:eastAsia="Times New Roman" w:hAnsi="Arial" w:cs="Arial"/>
          <w:sz w:val="24"/>
          <w:szCs w:val="24"/>
          <w:lang w:eastAsia="es-ES"/>
        </w:rPr>
        <w:t xml:space="preserve">, </w:t>
      </w:r>
      <w:hyperlink r:id="rId37" w:anchor="B16" w:history="1">
        <w:r w:rsidRPr="003263E9">
          <w:rPr>
            <w:rFonts w:ascii="Arial" w:eastAsia="Times New Roman" w:hAnsi="Arial" w:cs="Arial"/>
            <w:color w:val="0000FF"/>
            <w:sz w:val="24"/>
            <w:szCs w:val="24"/>
            <w:u w:val="single"/>
            <w:lang w:eastAsia="es-ES"/>
          </w:rPr>
          <w:t>16</w:t>
        </w:r>
      </w:hyperlink>
      <w:r w:rsidRPr="003263E9">
        <w:rPr>
          <w:rFonts w:ascii="Arial" w:eastAsia="Times New Roman" w:hAnsi="Arial" w:cs="Arial"/>
          <w:sz w:val="24"/>
          <w:szCs w:val="24"/>
          <w:lang w:eastAsia="es-ES"/>
        </w:rPr>
        <w:t xml:space="preserve">), organización superior de dirección, subordinada al Consejo de Ministros, que integra los centros de investigación-desarrollo-producción de la biotecnología, la industria farmacéutica y los equipos médicos de alta tecnología. </w:t>
      </w: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xml:space="preserve"> —con sus 32 empresas, 70 instalaciones productivas, 10 centros de investigación, 11 unidades de investigación y desarrollo y un centro de servicios científico- tecnológicos, en los que laboran 21 000 trabajadores— también forma parte del SCITS. Su objetivo es garantizar al SNS los medicamentos esenciales (biotecnológicos y genéricos), los productos, las materias primas, las vacunas, los reactivos, los medios diagnósticos y los equipos requeridos, además de tener sus propias líneas de investigación (</w:t>
      </w:r>
      <w:hyperlink r:id="rId38" w:anchor="B17" w:history="1">
        <w:r w:rsidRPr="003263E9">
          <w:rPr>
            <w:rFonts w:ascii="Arial" w:eastAsia="Times New Roman" w:hAnsi="Arial" w:cs="Arial"/>
            <w:color w:val="0000FF"/>
            <w:sz w:val="24"/>
            <w:szCs w:val="24"/>
            <w:u w:val="single"/>
            <w:lang w:eastAsia="es-ES"/>
          </w:rPr>
          <w:t>17</w:t>
        </w:r>
      </w:hyperlink>
      <w:r w:rsidRPr="003263E9">
        <w:rPr>
          <w:rFonts w:ascii="Arial" w:eastAsia="Times New Roman" w:hAnsi="Arial" w:cs="Arial"/>
          <w:sz w:val="24"/>
          <w:szCs w:val="24"/>
          <w:lang w:eastAsia="es-ES"/>
        </w:rPr>
        <w:t xml:space="preserve">, </w:t>
      </w:r>
      <w:hyperlink r:id="rId39" w:anchor="B18" w:history="1">
        <w:r w:rsidRPr="003263E9">
          <w:rPr>
            <w:rFonts w:ascii="Arial" w:eastAsia="Times New Roman" w:hAnsi="Arial" w:cs="Arial"/>
            <w:color w:val="0000FF"/>
            <w:sz w:val="24"/>
            <w:szCs w:val="24"/>
            <w:u w:val="single"/>
            <w:lang w:eastAsia="es-ES"/>
          </w:rPr>
          <w:t>18</w:t>
        </w:r>
      </w:hyperlink>
      <w:r w:rsidRPr="003263E9">
        <w:rPr>
          <w:rFonts w:ascii="Arial" w:eastAsia="Times New Roman" w:hAnsi="Arial" w:cs="Arial"/>
          <w:sz w:val="24"/>
          <w:szCs w:val="24"/>
          <w:lang w:eastAsia="es-ES"/>
        </w:rPr>
        <w:t>) (</w:t>
      </w:r>
      <w:hyperlink r:id="rId40" w:tgtFrame="table" w:history="1">
        <w:r w:rsidRPr="003263E9">
          <w:rPr>
            <w:rFonts w:ascii="Arial" w:eastAsia="Times New Roman" w:hAnsi="Arial" w:cs="Arial"/>
            <w:color w:val="0000FF"/>
            <w:sz w:val="24"/>
            <w:szCs w:val="24"/>
            <w:u w:val="single"/>
            <w:lang w:eastAsia="es-ES"/>
          </w:rPr>
          <w:t>cuadro 3</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lastRenderedPageBreak/>
        <w:t>CUADRO 3</w:t>
      </w:r>
    </w:p>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 xml:space="preserve">Productos suministrados por el Grupo de las Industrias Biotecnológica y Farmacéutica </w:t>
      </w:r>
      <w:proofErr w:type="spellStart"/>
      <w:r w:rsidRPr="003263E9">
        <w:rPr>
          <w:rFonts w:ascii="Arial" w:eastAsia="Times New Roman" w:hAnsi="Arial" w:cs="Arial"/>
          <w:b/>
          <w:bCs/>
          <w:sz w:val="24"/>
          <w:szCs w:val="24"/>
          <w:lang w:eastAsia="es-ES"/>
        </w:rPr>
        <w:t>BioCubaFarma</w:t>
      </w:r>
      <w:proofErr w:type="spellEnd"/>
      <w:r w:rsidRPr="003263E9">
        <w:rPr>
          <w:rFonts w:ascii="Arial" w:eastAsia="Times New Roman" w:hAnsi="Arial" w:cs="Arial"/>
          <w:b/>
          <w:bCs/>
          <w:sz w:val="24"/>
          <w:szCs w:val="24"/>
          <w:lang w:eastAsia="es-ES"/>
        </w:rPr>
        <w:t xml:space="preserve"> al Sistema Nacional de Salud. Cuba, 2016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26"/>
        <w:gridCol w:w="649"/>
      </w:tblGrid>
      <w:tr w:rsidR="002625DA" w:rsidRPr="003263E9" w:rsidTr="002625DA">
        <w:trPr>
          <w:tblHeade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Producto</w:t>
            </w:r>
          </w:p>
        </w:tc>
        <w:tc>
          <w:tcPr>
            <w:tcW w:w="0" w:type="auto"/>
            <w:vAlign w:val="center"/>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Total</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Medicamentos (biotecnológicos y genéricos)</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499</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Reactivos</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64</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Medios de diagnóstico</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135</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Equipos</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76</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Productos para uso estomatológico</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24</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Materias primas para la asistencia médica</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12</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Materias primas para la medicina natural tradicional y químico-</w:t>
            </w:r>
            <w:proofErr w:type="spellStart"/>
            <w:r w:rsidRPr="003263E9">
              <w:rPr>
                <w:rFonts w:ascii="Arial" w:eastAsia="Times New Roman" w:hAnsi="Arial" w:cs="Arial"/>
                <w:sz w:val="24"/>
                <w:szCs w:val="24"/>
                <w:lang w:eastAsia="es-ES"/>
              </w:rPr>
              <w:t>dispensarial</w:t>
            </w:r>
            <w:proofErr w:type="spellEnd"/>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53</w:t>
            </w:r>
          </w:p>
        </w:tc>
      </w:tr>
      <w:tr w:rsidR="002625DA" w:rsidRPr="003263E9" w:rsidTr="002625DA">
        <w:trPr>
          <w:tblCellSpacing w:w="15" w:type="dxa"/>
        </w:trPr>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Total</w:t>
            </w:r>
          </w:p>
        </w:tc>
        <w:tc>
          <w:tcPr>
            <w:tcW w:w="0" w:type="auto"/>
            <w:vAlign w:val="center"/>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863</w:t>
            </w:r>
          </w:p>
        </w:tc>
      </w:tr>
    </w:tbl>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i/>
          <w:iCs/>
          <w:sz w:val="24"/>
          <w:szCs w:val="24"/>
          <w:lang w:eastAsia="es-ES"/>
        </w:rPr>
        <w:t>Fuente:</w:t>
      </w:r>
      <w:r w:rsidRPr="003263E9">
        <w:rPr>
          <w:rFonts w:ascii="Arial" w:eastAsia="Times New Roman" w:hAnsi="Arial" w:cs="Arial"/>
          <w:sz w:val="24"/>
          <w:szCs w:val="24"/>
          <w:lang w:eastAsia="es-ES"/>
        </w:rPr>
        <w:t xml:space="preserve"> Elaboración de los autores a partir de las referencias </w:t>
      </w:r>
      <w:hyperlink r:id="rId41" w:anchor="B17" w:history="1">
        <w:r w:rsidRPr="003263E9">
          <w:rPr>
            <w:rFonts w:ascii="Arial" w:eastAsia="Times New Roman" w:hAnsi="Arial" w:cs="Arial"/>
            <w:color w:val="0000FF"/>
            <w:sz w:val="24"/>
            <w:szCs w:val="24"/>
            <w:u w:val="single"/>
            <w:lang w:eastAsia="es-ES"/>
          </w:rPr>
          <w:t>17</w:t>
        </w:r>
      </w:hyperlink>
      <w:r w:rsidRPr="003263E9">
        <w:rPr>
          <w:rFonts w:ascii="Arial" w:eastAsia="Times New Roman" w:hAnsi="Arial" w:cs="Arial"/>
          <w:sz w:val="24"/>
          <w:szCs w:val="24"/>
          <w:lang w:eastAsia="es-ES"/>
        </w:rPr>
        <w:t xml:space="preserve"> y </w:t>
      </w:r>
      <w:hyperlink r:id="rId42" w:anchor="B18" w:history="1">
        <w:r w:rsidRPr="003263E9">
          <w:rPr>
            <w:rFonts w:ascii="Arial" w:eastAsia="Times New Roman" w:hAnsi="Arial" w:cs="Arial"/>
            <w:color w:val="0000FF"/>
            <w:sz w:val="24"/>
            <w:szCs w:val="24"/>
            <w:u w:val="single"/>
            <w:lang w:eastAsia="es-ES"/>
          </w:rPr>
          <w:t>18</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xml:space="preserve"> se autofinancia y concibe la investigación científica no solo como productora de conocimientos, sino como fuente de recursos materiales y financieros, a fin de recuperar la inversión sin eludir su compromiso social con la salud pública.</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 integración entre los centros de investigación y de prestación de servicios científico-tecnológicos, las unidades de desarrollo e innovación, las universidades y las instituciones asistenciales permite a la población cubana el acceso a una medicina altamente calificada. También facilita que los medicamentos, los servicios y los productos de alta tecnología sean accesibles a los grupos poblacionales que los requieran, sin costos tangibles y con un efecto positivo para su salud.</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Desarrollo del capital humano</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Para el desarrollo de la actividad científica es imprescindible contar con un personal altamente calificado y comprometido con los problemas de salud y su solución (</w:t>
      </w:r>
      <w:hyperlink r:id="rId43" w:anchor="B10" w:history="1">
        <w:r w:rsidRPr="003263E9">
          <w:rPr>
            <w:rFonts w:ascii="Arial" w:eastAsia="Times New Roman" w:hAnsi="Arial" w:cs="Arial"/>
            <w:color w:val="0000FF"/>
            <w:sz w:val="24"/>
            <w:szCs w:val="24"/>
            <w:u w:val="single"/>
            <w:lang w:eastAsia="es-ES"/>
          </w:rPr>
          <w:t>10</w:t>
        </w:r>
      </w:hyperlink>
      <w:r w:rsidRPr="003263E9">
        <w:rPr>
          <w:rFonts w:ascii="Arial" w:eastAsia="Times New Roman" w:hAnsi="Arial" w:cs="Arial"/>
          <w:sz w:val="24"/>
          <w:szCs w:val="24"/>
          <w:lang w:eastAsia="es-ES"/>
        </w:rPr>
        <w:t>). La formación para la investigación se inicia en los estudios de pregrado, se fortalece en el desempeño de la actividad laboral y alcanza su mayor grado de actualización y especialización en la educación posgraduada (en Cuba o en el extranjero), que llega hasta el nivel de doctorado (</w:t>
      </w:r>
      <w:hyperlink r:id="rId44" w:anchor="B10" w:history="1">
        <w:r w:rsidRPr="003263E9">
          <w:rPr>
            <w:rFonts w:ascii="Arial" w:eastAsia="Times New Roman" w:hAnsi="Arial" w:cs="Arial"/>
            <w:color w:val="0000FF"/>
            <w:sz w:val="24"/>
            <w:szCs w:val="24"/>
            <w:u w:val="single"/>
            <w:lang w:eastAsia="es-ES"/>
          </w:rPr>
          <w:t>10</w:t>
        </w:r>
      </w:hyperlink>
      <w:r w:rsidRPr="003263E9">
        <w:rPr>
          <w:rFonts w:ascii="Arial" w:eastAsia="Times New Roman" w:hAnsi="Arial" w:cs="Arial"/>
          <w:sz w:val="24"/>
          <w:szCs w:val="24"/>
          <w:lang w:eastAsia="es-ES"/>
        </w:rPr>
        <w:t xml:space="preserve">, </w:t>
      </w:r>
      <w:hyperlink r:id="rId45" w:anchor="B19" w:history="1">
        <w:r w:rsidRPr="003263E9">
          <w:rPr>
            <w:rFonts w:ascii="Arial" w:eastAsia="Times New Roman" w:hAnsi="Arial" w:cs="Arial"/>
            <w:color w:val="0000FF"/>
            <w:sz w:val="24"/>
            <w:szCs w:val="24"/>
            <w:u w:val="single"/>
            <w:lang w:eastAsia="es-ES"/>
          </w:rPr>
          <w:t>19</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Los profesionales dedicados a la investigación se categorizan mediante un sistema que integra los años de experiencia, el nivel profesional y los resultados, con evaluaciones anuales que muestren los avances o los retrocesos en los indicadores que se van a medir a nivel individual e institucional, como la participación en proyectos y eventos científicos, las publicaciones, la conducción de tesis, la obtención de premios y grados científicos, los registros de patentes, el derechos de autor y la introducción de resultados (</w:t>
      </w:r>
      <w:hyperlink r:id="rId46" w:anchor="B19" w:history="1">
        <w:r w:rsidRPr="003263E9">
          <w:rPr>
            <w:rFonts w:ascii="Arial" w:eastAsia="Times New Roman" w:hAnsi="Arial" w:cs="Arial"/>
            <w:color w:val="0000FF"/>
            <w:sz w:val="24"/>
            <w:szCs w:val="24"/>
            <w:u w:val="single"/>
            <w:lang w:eastAsia="es-ES"/>
          </w:rPr>
          <w:t>19</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Al cierre del 2016, el MINSAP contaba con 3 214 investigadores categorizados como titulares (8,5%), auxiliares (21,7%), agregados (57,6%) y aspirantes (12,2%). En el año se produjeron 224 bajas (por migración, fallecimiento o jubilación); el análisis muestra los porcentajes más bajos de investigadores en las categorías de titulares y aspirantes (</w:t>
      </w:r>
      <w:hyperlink r:id="rId47" w:anchor="B20" w:history="1">
        <w:r w:rsidRPr="003263E9">
          <w:rPr>
            <w:rFonts w:ascii="Arial" w:eastAsia="Times New Roman" w:hAnsi="Arial" w:cs="Arial"/>
            <w:color w:val="0000FF"/>
            <w:sz w:val="24"/>
            <w:szCs w:val="24"/>
            <w:u w:val="single"/>
            <w:lang w:eastAsia="es-ES"/>
          </w:rPr>
          <w:t>20</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 extensión de la investigación a todas las unidades de salud ha traído consigo el desafío de un nuevo proceso de “alfabetización” (</w:t>
      </w:r>
      <w:hyperlink r:id="rId48" w:anchor="B21" w:history="1">
        <w:r w:rsidRPr="003263E9">
          <w:rPr>
            <w:rFonts w:ascii="Arial" w:eastAsia="Times New Roman" w:hAnsi="Arial" w:cs="Arial"/>
            <w:color w:val="0000FF"/>
            <w:sz w:val="24"/>
            <w:szCs w:val="24"/>
            <w:u w:val="single"/>
            <w:lang w:eastAsia="es-ES"/>
          </w:rPr>
          <w:t>21</w:t>
        </w:r>
      </w:hyperlink>
      <w:r w:rsidRPr="003263E9">
        <w:rPr>
          <w:rFonts w:ascii="Arial" w:eastAsia="Times New Roman" w:hAnsi="Arial" w:cs="Arial"/>
          <w:sz w:val="24"/>
          <w:szCs w:val="24"/>
          <w:lang w:eastAsia="es-ES"/>
        </w:rPr>
        <w:t>) para el uso adecuado de los mecanismos y los instrumentos de la ciencia, dada la necesidad de enfrentar las dificultades que son comunes para los SCITS de la Región de las Américas, como el desarrollo de competencias de investigación, la participación consciente y responsable de las comunidades afectadas y de otros sectores, y el incremento de las publicaciones y las patentes como forma de validar los resultados (</w:t>
      </w:r>
      <w:hyperlink r:id="rId49" w:anchor="B22" w:history="1">
        <w:r w:rsidRPr="003263E9">
          <w:rPr>
            <w:rFonts w:ascii="Arial" w:eastAsia="Times New Roman" w:hAnsi="Arial" w:cs="Arial"/>
            <w:color w:val="0000FF"/>
            <w:sz w:val="24"/>
            <w:szCs w:val="24"/>
            <w:u w:val="single"/>
            <w:lang w:eastAsia="es-ES"/>
          </w:rPr>
          <w:t>22</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Otros retos son el acceso al financiamiento y su utilización correcta, la obsolescencia tecnológica, el mantenimiento de las instalaciones, la inestabilidad y el envejecimiento de los investigadores, así como la insuficiente importancia que algunos decisores confieren a la investigación y a la innovación (</w:t>
      </w:r>
      <w:hyperlink r:id="rId50" w:anchor="B7" w:history="1">
        <w:r w:rsidRPr="003263E9">
          <w:rPr>
            <w:rFonts w:ascii="Arial" w:eastAsia="Times New Roman" w:hAnsi="Arial" w:cs="Arial"/>
            <w:color w:val="0000FF"/>
            <w:sz w:val="24"/>
            <w:szCs w:val="24"/>
            <w:u w:val="single"/>
            <w:lang w:eastAsia="es-ES"/>
          </w:rPr>
          <w:t>7</w:t>
        </w:r>
      </w:hyperlink>
      <w:r w:rsidRPr="003263E9">
        <w:rPr>
          <w:rFonts w:ascii="Arial" w:eastAsia="Times New Roman" w:hAnsi="Arial" w:cs="Arial"/>
          <w:sz w:val="24"/>
          <w:szCs w:val="24"/>
          <w:lang w:eastAsia="es-ES"/>
        </w:rPr>
        <w:t xml:space="preserve">, </w:t>
      </w:r>
      <w:hyperlink r:id="rId51" w:anchor="B22" w:history="1">
        <w:r w:rsidRPr="003263E9">
          <w:rPr>
            <w:rFonts w:ascii="Arial" w:eastAsia="Times New Roman" w:hAnsi="Arial" w:cs="Arial"/>
            <w:color w:val="0000FF"/>
            <w:sz w:val="24"/>
            <w:szCs w:val="24"/>
            <w:u w:val="single"/>
            <w:lang w:eastAsia="es-ES"/>
          </w:rPr>
          <w:t>22</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1"/>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INVESTIGACIONES Y SU EFECTO EN LA SALUD DE LA POBLACIÓN</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Para ilustrar cómo han influido en la salud las investigaciones del SCITS cubano, se han seleccionado algunos ejemplos de investigación-desarrollo por sus aportes demostrados al estudio y el control de los problemas de salud priorizados, y que combinan investigaciones básicas y aplicadas, desde el enfoque de las ciencias biomédicas, sociales y otras (</w:t>
      </w:r>
      <w:hyperlink r:id="rId52" w:tgtFrame="table" w:history="1">
        <w:r w:rsidRPr="003263E9">
          <w:rPr>
            <w:rFonts w:ascii="Arial" w:eastAsia="Times New Roman" w:hAnsi="Arial" w:cs="Arial"/>
            <w:color w:val="0000FF"/>
            <w:sz w:val="24"/>
            <w:szCs w:val="24"/>
            <w:u w:val="single"/>
            <w:lang w:eastAsia="es-ES"/>
          </w:rPr>
          <w:t>cuadro 4</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CUADRO 4</w:t>
      </w:r>
    </w:p>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sz w:val="24"/>
          <w:szCs w:val="24"/>
          <w:lang w:eastAsia="es-ES"/>
        </w:rPr>
        <w:t>Algunas investigaciones y su efecto en la salud de grupos poblacionales. Cuba, 2016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8"/>
        <w:gridCol w:w="2791"/>
        <w:gridCol w:w="3411"/>
      </w:tblGrid>
      <w:tr w:rsidR="002625DA" w:rsidRPr="003263E9" w:rsidTr="002625DA">
        <w:trPr>
          <w:tblHeade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Problema de salud</w:t>
            </w:r>
          </w:p>
        </w:tc>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Resultados de la investigación</w:t>
            </w:r>
          </w:p>
        </w:tc>
        <w:tc>
          <w:tcPr>
            <w:tcW w:w="0" w:type="auto"/>
            <w:hideMark/>
          </w:tcPr>
          <w:p w:rsidR="002625DA" w:rsidRPr="003263E9" w:rsidRDefault="002625DA" w:rsidP="003263E9">
            <w:pPr>
              <w:spacing w:after="0" w:line="240" w:lineRule="auto"/>
              <w:jc w:val="both"/>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Efecto en la salud de grupos poblacionales</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Defectos congénitos, infección por el VIH y hepatitis B en las embarazadas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Desarrollo del Sistema </w:t>
            </w:r>
            <w:proofErr w:type="spellStart"/>
            <w:r w:rsidRPr="003263E9">
              <w:rPr>
                <w:rFonts w:ascii="Arial" w:eastAsia="Times New Roman" w:hAnsi="Arial" w:cs="Arial"/>
                <w:sz w:val="24"/>
                <w:szCs w:val="24"/>
                <w:lang w:eastAsia="es-ES"/>
              </w:rPr>
              <w:t>Ultramicroanalítico</w:t>
            </w:r>
            <w:proofErr w:type="spellEnd"/>
            <w:r w:rsidRPr="003263E9">
              <w:rPr>
                <w:rFonts w:ascii="Arial" w:eastAsia="Times New Roman" w:hAnsi="Arial" w:cs="Arial"/>
                <w:sz w:val="24"/>
                <w:szCs w:val="24"/>
                <w:lang w:eastAsia="es-ES"/>
              </w:rPr>
              <w:t xml:space="preserve"> (SUMA) para el tamizaje prenatal, disponible en hospitales, bancos de sangre e institutos de investigación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 Se realizaron 4 098 860 pruebas de </w:t>
            </w:r>
            <w:proofErr w:type="spellStart"/>
            <w:r w:rsidRPr="003263E9">
              <w:rPr>
                <w:rFonts w:ascii="Arial" w:eastAsia="Times New Roman" w:hAnsi="Arial" w:cs="Arial"/>
                <w:sz w:val="24"/>
                <w:szCs w:val="24"/>
                <w:lang w:eastAsia="es-ES"/>
              </w:rPr>
              <w:t>alfafetoproteína</w:t>
            </w:r>
            <w:proofErr w:type="spellEnd"/>
            <w:r w:rsidRPr="003263E9">
              <w:rPr>
                <w:rFonts w:ascii="Arial" w:eastAsia="Times New Roman" w:hAnsi="Arial" w:cs="Arial"/>
                <w:sz w:val="24"/>
                <w:szCs w:val="24"/>
                <w:lang w:eastAsia="es-ES"/>
              </w:rPr>
              <w:t xml:space="preserve">; se detectaron defectos en el 6,4%; hubo reducción de la mortalidad infantil en 2,1 por 100 000 nacidos vivos; cobertura: más del 98% de las gestantes del país </w:t>
            </w:r>
            <w:r w:rsidRPr="003263E9">
              <w:rPr>
                <w:rFonts w:ascii="Arial" w:eastAsia="Times New Roman" w:hAnsi="Arial" w:cs="Arial"/>
                <w:sz w:val="24"/>
                <w:szCs w:val="24"/>
                <w:lang w:eastAsia="es-ES"/>
              </w:rPr>
              <w:br/>
              <w:t xml:space="preserve">• Hepatitis B: 1 824 520 pruebas; 1,4% positivas </w:t>
            </w:r>
            <w:r w:rsidRPr="003263E9">
              <w:rPr>
                <w:rFonts w:ascii="Arial" w:eastAsia="Times New Roman" w:hAnsi="Arial" w:cs="Arial"/>
                <w:sz w:val="24"/>
                <w:szCs w:val="24"/>
                <w:lang w:eastAsia="es-ES"/>
              </w:rPr>
              <w:br/>
              <w:t xml:space="preserve">• VIH 1+2: 5 818 895 pruebas; 0,2% positivas; la OMS validó en el 2015 la eliminación de la </w:t>
            </w:r>
            <w:r w:rsidRPr="003263E9">
              <w:rPr>
                <w:rFonts w:ascii="Arial" w:eastAsia="Times New Roman" w:hAnsi="Arial" w:cs="Arial"/>
                <w:sz w:val="24"/>
                <w:szCs w:val="24"/>
                <w:lang w:eastAsia="es-ES"/>
              </w:rPr>
              <w:lastRenderedPageBreak/>
              <w:t>transmisión vertical del VIH y la sífilis en Cuba</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Enfermedades congénitas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Desarrollo de la tecnología SUMA, para el tamizaje neonatal, disponible en hospitales, bancos de sangre e institutos de investigación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Hipotiroidismo congénito (801 casos detectados en 3 350 373 muestras analizadas), fenilcetonuria (20 casos en 1 055 575 muestras), hiperplasia suprarrenal (45 en 780 771), déficit de </w:t>
            </w:r>
            <w:proofErr w:type="spellStart"/>
            <w:r w:rsidRPr="003263E9">
              <w:rPr>
                <w:rFonts w:ascii="Arial" w:eastAsia="Times New Roman" w:hAnsi="Arial" w:cs="Arial"/>
                <w:sz w:val="24"/>
                <w:szCs w:val="24"/>
                <w:lang w:eastAsia="es-ES"/>
              </w:rPr>
              <w:t>biotinidasa</w:t>
            </w:r>
            <w:proofErr w:type="spellEnd"/>
            <w:r w:rsidRPr="003263E9">
              <w:rPr>
                <w:rFonts w:ascii="Arial" w:eastAsia="Times New Roman" w:hAnsi="Arial" w:cs="Arial"/>
                <w:sz w:val="24"/>
                <w:szCs w:val="24"/>
                <w:lang w:eastAsia="es-ES"/>
              </w:rPr>
              <w:t xml:space="preserve"> (5 en 759 935) y galactosemia (7 en 723 182)</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Transmisión transfusional de la infección por el VIH y las hepatitis B y C; tamizaje masivo y control epidemiológico</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Desarrollo de la tecnología SUMA para la certificación de las donaciones de sangre y el control epidemiológico, disponible en hospitales, bancos de sangre e institutos de investigación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Donantes de sangre: </w:t>
            </w:r>
            <w:r w:rsidRPr="003263E9">
              <w:rPr>
                <w:rFonts w:ascii="Arial" w:eastAsia="Times New Roman" w:hAnsi="Arial" w:cs="Arial"/>
                <w:sz w:val="24"/>
                <w:szCs w:val="24"/>
                <w:lang w:eastAsia="es-ES"/>
              </w:rPr>
              <w:br/>
              <w:t xml:space="preserve">• VIH 1+2: 12 798 394 pruebas; 0,7% positivas </w:t>
            </w:r>
            <w:r w:rsidRPr="003263E9">
              <w:rPr>
                <w:rFonts w:ascii="Arial" w:eastAsia="Times New Roman" w:hAnsi="Arial" w:cs="Arial"/>
                <w:sz w:val="24"/>
                <w:szCs w:val="24"/>
                <w:lang w:eastAsia="es-ES"/>
              </w:rPr>
              <w:br/>
              <w:t xml:space="preserve">• Hepatitis B: 12 074 614 pruebas; 0,9% positivas </w:t>
            </w:r>
            <w:r w:rsidRPr="003263E9">
              <w:rPr>
                <w:rFonts w:ascii="Arial" w:eastAsia="Times New Roman" w:hAnsi="Arial" w:cs="Arial"/>
                <w:sz w:val="24"/>
                <w:szCs w:val="24"/>
                <w:lang w:eastAsia="es-ES"/>
              </w:rPr>
              <w:br/>
              <w:t xml:space="preserve">• Hepatitis C: 10 017 461 pruebas; 0,9% positivas </w:t>
            </w:r>
            <w:r w:rsidRPr="003263E9">
              <w:rPr>
                <w:rFonts w:ascii="Arial" w:eastAsia="Times New Roman" w:hAnsi="Arial" w:cs="Arial"/>
                <w:sz w:val="24"/>
                <w:szCs w:val="24"/>
                <w:lang w:eastAsia="es-ES"/>
              </w:rPr>
              <w:br/>
              <w:t xml:space="preserve">Control epidemiológico: </w:t>
            </w:r>
            <w:r w:rsidRPr="003263E9">
              <w:rPr>
                <w:rFonts w:ascii="Arial" w:eastAsia="Times New Roman" w:hAnsi="Arial" w:cs="Arial"/>
                <w:sz w:val="24"/>
                <w:szCs w:val="24"/>
                <w:lang w:eastAsia="es-ES"/>
              </w:rPr>
              <w:br/>
              <w:t xml:space="preserve">• VIH 1+2: 35 514 618 pruebas; 0,6% positivas </w:t>
            </w:r>
            <w:r w:rsidRPr="003263E9">
              <w:rPr>
                <w:rFonts w:ascii="Arial" w:eastAsia="Times New Roman" w:hAnsi="Arial" w:cs="Arial"/>
                <w:sz w:val="24"/>
                <w:szCs w:val="24"/>
                <w:lang w:eastAsia="es-ES"/>
              </w:rPr>
              <w:br/>
              <w:t xml:space="preserve">• Hepatitis B: 9 365 416; 1,2% positivas </w:t>
            </w:r>
            <w:r w:rsidRPr="003263E9">
              <w:rPr>
                <w:rFonts w:ascii="Arial" w:eastAsia="Times New Roman" w:hAnsi="Arial" w:cs="Arial"/>
                <w:sz w:val="24"/>
                <w:szCs w:val="24"/>
                <w:lang w:eastAsia="es-ES"/>
              </w:rPr>
              <w:br/>
              <w:t xml:space="preserve">• Hepatitis C: 2 226 778 pruebas; 5,3% positivas </w:t>
            </w:r>
            <w:r w:rsidRPr="003263E9">
              <w:rPr>
                <w:rFonts w:ascii="Arial" w:eastAsia="Times New Roman" w:hAnsi="Arial" w:cs="Arial"/>
                <w:sz w:val="24"/>
                <w:szCs w:val="24"/>
                <w:lang w:eastAsia="es-ES"/>
              </w:rPr>
              <w:br/>
              <w:t>• Dengue (</w:t>
            </w:r>
            <w:proofErr w:type="spellStart"/>
            <w:r w:rsidRPr="003263E9">
              <w:rPr>
                <w:rFonts w:ascii="Arial" w:eastAsia="Times New Roman" w:hAnsi="Arial" w:cs="Arial"/>
                <w:sz w:val="24"/>
                <w:szCs w:val="24"/>
                <w:lang w:eastAsia="es-ES"/>
              </w:rPr>
              <w:t>IgM</w:t>
            </w:r>
            <w:proofErr w:type="spellEnd"/>
            <w:r w:rsidRPr="003263E9">
              <w:rPr>
                <w:rFonts w:ascii="Arial" w:eastAsia="Times New Roman" w:hAnsi="Arial" w:cs="Arial"/>
                <w:sz w:val="24"/>
                <w:szCs w:val="24"/>
                <w:lang w:eastAsia="es-ES"/>
              </w:rPr>
              <w:t xml:space="preserve">): 980 104 pruebas; 32,7% positivas </w:t>
            </w:r>
            <w:r w:rsidRPr="003263E9">
              <w:rPr>
                <w:rFonts w:ascii="Arial" w:eastAsia="Times New Roman" w:hAnsi="Arial" w:cs="Arial"/>
                <w:sz w:val="24"/>
                <w:szCs w:val="24"/>
                <w:lang w:eastAsia="es-ES"/>
              </w:rPr>
              <w:br/>
              <w:t xml:space="preserve">• Enfermedad de Chagas: 14 213 pruebas; 4,8% positivas </w:t>
            </w:r>
            <w:r w:rsidRPr="003263E9">
              <w:rPr>
                <w:rFonts w:ascii="Arial" w:eastAsia="Times New Roman" w:hAnsi="Arial" w:cs="Arial"/>
                <w:sz w:val="24"/>
                <w:szCs w:val="24"/>
                <w:lang w:eastAsia="es-ES"/>
              </w:rPr>
              <w:br/>
              <w:t>• Lepra: 31 725 pruebas; 10,6% positivas</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Enfermedades transmisibles prevenibles por vacunación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Heberpenta</w:t>
            </w:r>
            <w:proofErr w:type="spellEnd"/>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 xml:space="preserve">; vacuna pentavalente combinada contra la difteria, el tétanos, la tos ferina, la hepatitis B y </w:t>
            </w:r>
            <w:proofErr w:type="spellStart"/>
            <w:r w:rsidRPr="003263E9">
              <w:rPr>
                <w:rFonts w:ascii="Arial" w:eastAsia="Times New Roman" w:hAnsi="Arial" w:cs="Arial"/>
                <w:i/>
                <w:iCs/>
                <w:sz w:val="24"/>
                <w:szCs w:val="24"/>
                <w:lang w:eastAsia="es-ES"/>
              </w:rPr>
              <w:t>Haemophilus</w:t>
            </w:r>
            <w:proofErr w:type="spellEnd"/>
            <w:r w:rsidRPr="003263E9">
              <w:rPr>
                <w:rFonts w:ascii="Arial" w:eastAsia="Times New Roman" w:hAnsi="Arial" w:cs="Arial"/>
                <w:i/>
                <w:iCs/>
                <w:sz w:val="24"/>
                <w:szCs w:val="24"/>
                <w:lang w:eastAsia="es-ES"/>
              </w:rPr>
              <w:t xml:space="preserve"> </w:t>
            </w:r>
            <w:proofErr w:type="spellStart"/>
            <w:r w:rsidRPr="003263E9">
              <w:rPr>
                <w:rFonts w:ascii="Arial" w:eastAsia="Times New Roman" w:hAnsi="Arial" w:cs="Arial"/>
                <w:i/>
                <w:iCs/>
                <w:sz w:val="24"/>
                <w:szCs w:val="24"/>
                <w:lang w:eastAsia="es-ES"/>
              </w:rPr>
              <w:t>influenzae</w:t>
            </w:r>
            <w:proofErr w:type="spellEnd"/>
            <w:r w:rsidRPr="003263E9">
              <w:rPr>
                <w:rFonts w:ascii="Arial" w:eastAsia="Times New Roman" w:hAnsi="Arial" w:cs="Arial"/>
                <w:sz w:val="24"/>
                <w:szCs w:val="24"/>
                <w:lang w:eastAsia="es-ES"/>
              </w:rPr>
              <w:t xml:space="preserve"> tipo </w:t>
            </w:r>
            <w:proofErr w:type="spellStart"/>
            <w:r w:rsidRPr="003263E9">
              <w:rPr>
                <w:rFonts w:ascii="Arial" w:eastAsia="Times New Roman" w:hAnsi="Arial" w:cs="Arial"/>
                <w:sz w:val="24"/>
                <w:szCs w:val="24"/>
                <w:lang w:eastAsia="es-ES"/>
              </w:rPr>
              <w:t>b</w:t>
            </w:r>
            <w:r w:rsidRPr="003263E9">
              <w:rPr>
                <w:rFonts w:ascii="Arial" w:eastAsia="Times New Roman" w:hAnsi="Arial" w:cs="Arial"/>
                <w:sz w:val="24"/>
                <w:szCs w:val="24"/>
                <w:vertAlign w:val="superscript"/>
                <w:lang w:eastAsia="es-ES"/>
              </w:rPr>
              <w:t>a</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Registrada en el 2010; simplificó el Programa Nacional de Inmunización al reducir de once a seis el número de vacunaciones. La cobertura de vacunación es superior al 98,7%</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Vacuna </w:t>
            </w:r>
            <w:proofErr w:type="spellStart"/>
            <w:r w:rsidRPr="003263E9">
              <w:rPr>
                <w:rFonts w:ascii="Arial" w:eastAsia="Times New Roman" w:hAnsi="Arial" w:cs="Arial"/>
                <w:sz w:val="24"/>
                <w:szCs w:val="24"/>
                <w:lang w:eastAsia="es-ES"/>
              </w:rPr>
              <w:t>antimeningocócica</w:t>
            </w:r>
            <w:proofErr w:type="spellEnd"/>
            <w:r w:rsidRPr="003263E9">
              <w:rPr>
                <w:rFonts w:ascii="Arial" w:eastAsia="Times New Roman" w:hAnsi="Arial" w:cs="Arial"/>
                <w:sz w:val="24"/>
                <w:szCs w:val="24"/>
                <w:lang w:eastAsia="es-ES"/>
              </w:rPr>
              <w:t xml:space="preserve"> </w:t>
            </w:r>
            <w:proofErr w:type="spellStart"/>
            <w:r w:rsidRPr="003263E9">
              <w:rPr>
                <w:rFonts w:ascii="Arial" w:eastAsia="Times New Roman" w:hAnsi="Arial" w:cs="Arial"/>
                <w:sz w:val="24"/>
                <w:szCs w:val="24"/>
                <w:lang w:eastAsia="es-ES"/>
              </w:rPr>
              <w:t>BC</w:t>
            </w:r>
            <w:r w:rsidRPr="003263E9">
              <w:rPr>
                <w:rFonts w:ascii="Arial" w:eastAsia="Times New Roman" w:hAnsi="Arial" w:cs="Arial"/>
                <w:sz w:val="24"/>
                <w:szCs w:val="24"/>
                <w:vertAlign w:val="superscript"/>
                <w:lang w:eastAsia="es-ES"/>
              </w:rPr>
              <w:t>a</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Campaña de vacunación masiva en 1989. Se incluyó en el Programa Nacional de Inmunización desde 1991. La incidencia se redujo de 14 por </w:t>
            </w:r>
            <w:r w:rsidRPr="003263E9">
              <w:rPr>
                <w:rFonts w:ascii="Arial" w:eastAsia="Times New Roman" w:hAnsi="Arial" w:cs="Arial"/>
                <w:sz w:val="24"/>
                <w:szCs w:val="24"/>
                <w:lang w:eastAsia="es-ES"/>
              </w:rPr>
              <w:lastRenderedPageBreak/>
              <w:t>100 000 habitantes en la década de 1980 a menos de 0,2 por 100 000 habitantes a partir del 2006</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Alta mortalidad por infarto agudo de miocardio</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Heberkinasa</w:t>
            </w:r>
            <w:proofErr w:type="spellEnd"/>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 xml:space="preserve">, estreptoquinasa recombinante humana, </w:t>
            </w:r>
            <w:proofErr w:type="spellStart"/>
            <w:r w:rsidRPr="003263E9">
              <w:rPr>
                <w:rFonts w:ascii="Arial" w:eastAsia="Times New Roman" w:hAnsi="Arial" w:cs="Arial"/>
                <w:sz w:val="24"/>
                <w:szCs w:val="24"/>
                <w:lang w:eastAsia="es-ES"/>
              </w:rPr>
              <w:t>biofármaco</w:t>
            </w:r>
            <w:proofErr w:type="spellEnd"/>
            <w:r w:rsidRPr="003263E9">
              <w:rPr>
                <w:rFonts w:ascii="Arial" w:eastAsia="Times New Roman" w:hAnsi="Arial" w:cs="Arial"/>
                <w:sz w:val="24"/>
                <w:szCs w:val="24"/>
                <w:lang w:eastAsia="es-ES"/>
              </w:rPr>
              <w:t xml:space="preserve"> </w:t>
            </w:r>
            <w:proofErr w:type="spellStart"/>
            <w:r w:rsidRPr="003263E9">
              <w:rPr>
                <w:rFonts w:ascii="Arial" w:eastAsia="Times New Roman" w:hAnsi="Arial" w:cs="Arial"/>
                <w:sz w:val="24"/>
                <w:szCs w:val="24"/>
                <w:lang w:eastAsia="es-ES"/>
              </w:rPr>
              <w:t>trombolítico</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Desde su introducción en 1991, disminuyó la mortalidad hospitalaria por infarto agudo de miocardio entre 50% y 70%; el medicamento está disponible en centros de atención primaria de salud con unidades de cuidados progresivos</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Alta incidencia de cardiopatía isquémica</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Policosanol</w:t>
            </w:r>
            <w:proofErr w:type="spellEnd"/>
            <w:r w:rsidRPr="003263E9">
              <w:rPr>
                <w:rFonts w:ascii="Arial" w:eastAsia="Times New Roman" w:hAnsi="Arial" w:cs="Arial"/>
                <w:sz w:val="24"/>
                <w:szCs w:val="24"/>
                <w:lang w:eastAsia="es-ES"/>
              </w:rPr>
              <w:t xml:space="preserve"> (PPG</w:t>
            </w:r>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w:t>
            </w:r>
            <w:r w:rsidRPr="003263E9">
              <w:rPr>
                <w:rFonts w:ascii="Arial" w:eastAsia="Times New Roman" w:hAnsi="Arial" w:cs="Arial"/>
                <w:sz w:val="24"/>
                <w:szCs w:val="24"/>
                <w:vertAlign w:val="superscript"/>
                <w:lang w:eastAsia="es-ES"/>
              </w:rPr>
              <w:t>a</w:t>
            </w:r>
            <w:r w:rsidRPr="003263E9">
              <w:rPr>
                <w:rFonts w:ascii="Arial" w:eastAsia="Times New Roman" w:hAnsi="Arial" w:cs="Arial"/>
                <w:sz w:val="24"/>
                <w:szCs w:val="24"/>
                <w:lang w:eastAsia="es-ES"/>
              </w:rPr>
              <w:t xml:space="preserve"> fármaco </w:t>
            </w:r>
            <w:proofErr w:type="spellStart"/>
            <w:r w:rsidRPr="003263E9">
              <w:rPr>
                <w:rFonts w:ascii="Arial" w:eastAsia="Times New Roman" w:hAnsi="Arial" w:cs="Arial"/>
                <w:sz w:val="24"/>
                <w:szCs w:val="24"/>
                <w:lang w:eastAsia="es-ES"/>
              </w:rPr>
              <w:t>hipolipemiante</w:t>
            </w:r>
            <w:proofErr w:type="spellEnd"/>
            <w:r w:rsidRPr="003263E9">
              <w:rPr>
                <w:rFonts w:ascii="Arial" w:eastAsia="Times New Roman" w:hAnsi="Arial" w:cs="Arial"/>
                <w:sz w:val="24"/>
                <w:szCs w:val="24"/>
                <w:lang w:eastAsia="es-ES"/>
              </w:rPr>
              <w:t xml:space="preserve">, </w:t>
            </w:r>
            <w:proofErr w:type="spellStart"/>
            <w:r w:rsidRPr="003263E9">
              <w:rPr>
                <w:rFonts w:ascii="Arial" w:eastAsia="Times New Roman" w:hAnsi="Arial" w:cs="Arial"/>
                <w:sz w:val="24"/>
                <w:szCs w:val="24"/>
                <w:lang w:eastAsia="es-ES"/>
              </w:rPr>
              <w:t>antiagregante</w:t>
            </w:r>
            <w:proofErr w:type="spellEnd"/>
            <w:r w:rsidRPr="003263E9">
              <w:rPr>
                <w:rFonts w:ascii="Arial" w:eastAsia="Times New Roman" w:hAnsi="Arial" w:cs="Arial"/>
                <w:sz w:val="24"/>
                <w:szCs w:val="24"/>
                <w:lang w:eastAsia="es-ES"/>
              </w:rPr>
              <w:t xml:space="preserve"> plaquetario, de origen natural</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Tratamiento de la hipercolesterolemia (factor de riesgo coronario); incorporado al CBM desde 1991, está disponible en las farmacias</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Neutropenia en pacientes </w:t>
            </w:r>
            <w:proofErr w:type="spellStart"/>
            <w:r w:rsidRPr="003263E9">
              <w:rPr>
                <w:rFonts w:ascii="Arial" w:eastAsia="Times New Roman" w:hAnsi="Arial" w:cs="Arial"/>
                <w:sz w:val="24"/>
                <w:szCs w:val="24"/>
                <w:lang w:eastAsia="es-ES"/>
              </w:rPr>
              <w:t>oncohematológicos</w:t>
            </w:r>
            <w:proofErr w:type="spellEnd"/>
            <w:r w:rsidRPr="003263E9">
              <w:rPr>
                <w:rFonts w:ascii="Arial" w:eastAsia="Times New Roman" w:hAnsi="Arial" w:cs="Arial"/>
                <w:sz w:val="24"/>
                <w:szCs w:val="24"/>
                <w:lang w:eastAsia="es-ES"/>
              </w:rPr>
              <w:t>, con VIH/sida, o secundaria al tratamiento con quimio- o radioterapia</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ior</w:t>
            </w:r>
            <w:proofErr w:type="spellEnd"/>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w:t>
            </w:r>
            <w:proofErr w:type="spellStart"/>
            <w:r w:rsidRPr="003263E9">
              <w:rPr>
                <w:rFonts w:ascii="Arial" w:eastAsia="Times New Roman" w:hAnsi="Arial" w:cs="Arial"/>
                <w:sz w:val="24"/>
                <w:szCs w:val="24"/>
                <w:lang w:eastAsia="es-ES"/>
              </w:rPr>
              <w:t>LeukoCIM</w:t>
            </w:r>
            <w:proofErr w:type="spellEnd"/>
            <w:r w:rsidRPr="003263E9">
              <w:rPr>
                <w:rFonts w:ascii="Arial" w:eastAsia="Times New Roman" w:hAnsi="Arial" w:cs="Arial"/>
                <w:sz w:val="24"/>
                <w:szCs w:val="24"/>
                <w:lang w:eastAsia="es-ES"/>
              </w:rPr>
              <w:t xml:space="preserve">, </w:t>
            </w:r>
            <w:proofErr w:type="spellStart"/>
            <w:r w:rsidRPr="003263E9">
              <w:rPr>
                <w:rFonts w:ascii="Arial" w:eastAsia="Times New Roman" w:hAnsi="Arial" w:cs="Arial"/>
                <w:sz w:val="24"/>
                <w:szCs w:val="24"/>
                <w:lang w:eastAsia="es-ES"/>
              </w:rPr>
              <w:t>biofármaco</w:t>
            </w:r>
            <w:proofErr w:type="spellEnd"/>
            <w:r w:rsidRPr="003263E9">
              <w:rPr>
                <w:rFonts w:ascii="Arial" w:eastAsia="Times New Roman" w:hAnsi="Arial" w:cs="Arial"/>
                <w:sz w:val="24"/>
                <w:szCs w:val="24"/>
                <w:lang w:eastAsia="es-ES"/>
              </w:rPr>
              <w:t xml:space="preserve"> estimulante de colonias </w:t>
            </w:r>
            <w:proofErr w:type="spellStart"/>
            <w:r w:rsidRPr="003263E9">
              <w:rPr>
                <w:rFonts w:ascii="Arial" w:eastAsia="Times New Roman" w:hAnsi="Arial" w:cs="Arial"/>
                <w:sz w:val="24"/>
                <w:szCs w:val="24"/>
                <w:lang w:eastAsia="es-ES"/>
              </w:rPr>
              <w:t>granulocíticas</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Incorporado al CBM y disponible en las instituciones hospitalarias desde el 2004; eficaz en la recuperación del conteo absoluto de neutrófilos en pacientes </w:t>
            </w:r>
            <w:proofErr w:type="spellStart"/>
            <w:r w:rsidRPr="003263E9">
              <w:rPr>
                <w:rFonts w:ascii="Arial" w:eastAsia="Times New Roman" w:hAnsi="Arial" w:cs="Arial"/>
                <w:sz w:val="24"/>
                <w:szCs w:val="24"/>
                <w:lang w:eastAsia="es-ES"/>
              </w:rPr>
              <w:t>oncohematológicos</w:t>
            </w:r>
            <w:proofErr w:type="spellEnd"/>
            <w:r w:rsidRPr="003263E9">
              <w:rPr>
                <w:rFonts w:ascii="Arial" w:eastAsia="Times New Roman" w:hAnsi="Arial" w:cs="Arial"/>
                <w:sz w:val="24"/>
                <w:szCs w:val="24"/>
                <w:lang w:eastAsia="es-ES"/>
              </w:rPr>
              <w:t xml:space="preserve"> (adultos y pediátricos) y con VIH/sida; disminución de la estadía hospitalaria; disminución del riesgo de infecciones asociadas; mejoría de la calidad de vida</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Mortalidad por cáncer de pulmón de células no pequeñas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CIMAvax</w:t>
            </w:r>
            <w:proofErr w:type="spellEnd"/>
            <w:r w:rsidRPr="003263E9">
              <w:rPr>
                <w:rFonts w:ascii="Arial" w:eastAsia="Times New Roman" w:hAnsi="Arial" w:cs="Arial"/>
                <w:sz w:val="24"/>
                <w:szCs w:val="24"/>
                <w:lang w:eastAsia="es-ES"/>
              </w:rPr>
              <w:t>-EGF</w:t>
            </w:r>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 vacuna terapéutica</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Inmunoterapia activa; incorporada al CBM; aumento de la supervivencia y la calidad de vida</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Úlcera del pie diabético y amputaciones</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proofErr w:type="spellStart"/>
            <w:r w:rsidRPr="003263E9">
              <w:rPr>
                <w:rFonts w:ascii="Arial" w:eastAsia="Times New Roman" w:hAnsi="Arial" w:cs="Arial"/>
                <w:sz w:val="24"/>
                <w:szCs w:val="24"/>
                <w:lang w:eastAsia="es-ES"/>
              </w:rPr>
              <w:t>Heberprot</w:t>
            </w:r>
            <w:proofErr w:type="spellEnd"/>
            <w:r w:rsidRPr="003263E9">
              <w:rPr>
                <w:rFonts w:ascii="Arial" w:eastAsia="Times New Roman" w:hAnsi="Arial" w:cs="Arial"/>
                <w:sz w:val="24"/>
                <w:szCs w:val="24"/>
                <w:lang w:eastAsia="es-ES"/>
              </w:rPr>
              <w:t>-P</w:t>
            </w:r>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 xml:space="preserve">, factor de crecimiento epidérmico recombinante aplicado mediante inyección </w:t>
            </w:r>
            <w:proofErr w:type="spellStart"/>
            <w:r w:rsidRPr="003263E9">
              <w:rPr>
                <w:rFonts w:ascii="Arial" w:eastAsia="Times New Roman" w:hAnsi="Arial" w:cs="Arial"/>
                <w:sz w:val="24"/>
                <w:szCs w:val="24"/>
                <w:lang w:eastAsia="es-ES"/>
              </w:rPr>
              <w:t>intralesional</w:t>
            </w:r>
            <w:r w:rsidRPr="003263E9">
              <w:rPr>
                <w:rFonts w:ascii="Arial" w:eastAsia="Times New Roman" w:hAnsi="Arial" w:cs="Arial"/>
                <w:sz w:val="24"/>
                <w:szCs w:val="24"/>
                <w:vertAlign w:val="superscript"/>
                <w:lang w:eastAsia="es-ES"/>
              </w:rPr>
              <w:t>a</w:t>
            </w:r>
            <w:proofErr w:type="spellEnd"/>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Más de 20 000 pacientes diabéticos tratados en más de 85 instituciones de salud (hasta el 2014); establecimiento del Programa de Atención Integral al Paciente con Úlcera del Pie Diabético (incluye uso del producto) que coordina acciones de los niveles primario </w:t>
            </w:r>
            <w:r w:rsidRPr="003263E9">
              <w:rPr>
                <w:rFonts w:ascii="Arial" w:eastAsia="Times New Roman" w:hAnsi="Arial" w:cs="Arial"/>
                <w:sz w:val="24"/>
                <w:szCs w:val="24"/>
                <w:lang w:eastAsia="es-ES"/>
              </w:rPr>
              <w:lastRenderedPageBreak/>
              <w:t>y secundario de salud; incorporado al CBM desde el 2007; se logró 81,2% de reducción del índice de amputaciones (12 000 amputaciones evitadas)</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Diabetes y autocuidado</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Programa Nacional de Educación al Paciente Diabético y su implementación</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Disminución de la dosis de medicamentos en pacientes no dependientes de insulina; reducción de los niveles de </w:t>
            </w:r>
            <w:proofErr w:type="spellStart"/>
            <w:r w:rsidRPr="003263E9">
              <w:rPr>
                <w:rFonts w:ascii="Arial" w:eastAsia="Times New Roman" w:hAnsi="Arial" w:cs="Arial"/>
                <w:sz w:val="24"/>
                <w:szCs w:val="24"/>
                <w:lang w:eastAsia="es-ES"/>
              </w:rPr>
              <w:t>HbA</w:t>
            </w:r>
            <w:proofErr w:type="spellEnd"/>
            <w:r w:rsidRPr="003263E9">
              <w:rPr>
                <w:rFonts w:ascii="Arial" w:eastAsia="Times New Roman" w:hAnsi="Arial" w:cs="Arial"/>
                <w:sz w:val="24"/>
                <w:szCs w:val="24"/>
                <w:lang w:eastAsia="es-ES"/>
              </w:rPr>
              <w:t xml:space="preserve"> de 12% a 7,6%, de la frecuencia de sobrepeso corporal de 77% a 20% de los casos y de las hospitalizaciones promedio anuales por descompensación metabólica en diabéticos tipo 1, de 2 a 3 por persona a menos de 1</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Dengue y dengue hemorrágico</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Identificación de los signos de alarma tempranos de la enfermedad</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Incorporados a las normas para el manejo terapéutico en las guías de Cuba, la OMS y otros países de la Región; clasificación de casos: 96% de sensibilidad y 100% de especificidad</w:t>
            </w:r>
          </w:p>
        </w:tc>
      </w:tr>
      <w:tr w:rsidR="002625DA" w:rsidRPr="003263E9" w:rsidTr="002625DA">
        <w:trPr>
          <w:tblCellSpacing w:w="15" w:type="dxa"/>
        </w:trPr>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Situación de salud y socioeconómica de las personas con discapacidad</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Caracterización de la magnitud y el alcance del problema</w:t>
            </w:r>
          </w:p>
        </w:tc>
        <w:tc>
          <w:tcPr>
            <w:tcW w:w="0" w:type="auto"/>
            <w:hideMark/>
          </w:tcPr>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Se estudiaron 366 864 personas con discapacidad (prevalencia: 3,26%); se desarrollaron programas comunitarios en genética, rehabilitación y trabajo social; se implementó la ayuda técnica, monetaria y de alimentación; se promulgó y aplicó una ley para la protección de madres con hijos afectados: desde el 2016 se han protegido 7 462 madres de personas con discapacidad grave</w:t>
            </w:r>
          </w:p>
        </w:tc>
      </w:tr>
    </w:tbl>
    <w:p w:rsidR="002625DA" w:rsidRPr="003263E9" w:rsidRDefault="002625DA" w:rsidP="003263E9">
      <w:pPr>
        <w:spacing w:after="0" w:line="240" w:lineRule="auto"/>
        <w:jc w:val="both"/>
        <w:rPr>
          <w:rFonts w:ascii="Arial" w:eastAsia="Times New Roman" w:hAnsi="Arial" w:cs="Arial"/>
          <w:sz w:val="24"/>
          <w:szCs w:val="24"/>
          <w:lang w:eastAsia="es-ES"/>
        </w:rPr>
      </w:pPr>
      <w:r w:rsidRPr="003263E9">
        <w:rPr>
          <w:rFonts w:ascii="Arial" w:eastAsia="Times New Roman" w:hAnsi="Arial" w:cs="Arial"/>
          <w:b/>
          <w:bCs/>
          <w:i/>
          <w:iCs/>
          <w:sz w:val="24"/>
          <w:szCs w:val="24"/>
          <w:lang w:eastAsia="es-ES"/>
        </w:rPr>
        <w:t>Fuente:</w:t>
      </w:r>
      <w:r w:rsidRPr="003263E9">
        <w:rPr>
          <w:rFonts w:ascii="Arial" w:eastAsia="Times New Roman" w:hAnsi="Arial" w:cs="Arial"/>
          <w:sz w:val="24"/>
          <w:szCs w:val="24"/>
          <w:lang w:eastAsia="es-ES"/>
        </w:rPr>
        <w:t xml:space="preserve"> Elaboración de los autores a partir de las referencias </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Uno de esos ejemplos es la generación de productos —medicamentos, reactivos, etc.— y tecnologías —equipos y sistemas— para la salud, algo que en Cuba resulta vital para disminuir la mortalidad por enfermedades, principalmente las que ocupan los tres primeros lugares como causa de muerte: enfermedades del corazón (217,7 fallecidos por 100 000 habitantes), tumores malignos (216,3 por 100 000 habitantes), enfermedades cerebrovasculares (84,2 por 100 000 habitantes) y diabetes mellitus (20,0 por 100 000 habitantes) (</w:t>
      </w:r>
      <w:hyperlink r:id="rId53" w:anchor="B13" w:history="1">
        <w:r w:rsidRPr="003263E9">
          <w:rPr>
            <w:rFonts w:ascii="Arial" w:eastAsia="Times New Roman" w:hAnsi="Arial" w:cs="Arial"/>
            <w:color w:val="0000FF"/>
            <w:sz w:val="24"/>
            <w:szCs w:val="24"/>
            <w:u w:val="single"/>
            <w:lang w:eastAsia="es-ES"/>
          </w:rPr>
          <w:t>13</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También las investigaciones sobre el dengue y la diabetes, y el estudio biopsicosocial de la discapacidad abarcan los sistemas y los servicios de la salud, y han generado cambios en la práctica médica, las políticas sociales y los programas específicos de educación y atención a los grupos vulnerables.</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Generación de productos y tecnologías para la salud</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El primer resultado de este tipo de investigaciones fue el Sistema </w:t>
      </w:r>
      <w:proofErr w:type="spellStart"/>
      <w:r w:rsidRPr="003263E9">
        <w:rPr>
          <w:rFonts w:ascii="Arial" w:eastAsia="Times New Roman" w:hAnsi="Arial" w:cs="Arial"/>
          <w:sz w:val="24"/>
          <w:szCs w:val="24"/>
          <w:lang w:eastAsia="es-ES"/>
        </w:rPr>
        <w:t>Ultramicroanalítico</w:t>
      </w:r>
      <w:proofErr w:type="spellEnd"/>
      <w:r w:rsidRPr="003263E9">
        <w:rPr>
          <w:rFonts w:ascii="Arial" w:eastAsia="Times New Roman" w:hAnsi="Arial" w:cs="Arial"/>
          <w:sz w:val="24"/>
          <w:szCs w:val="24"/>
          <w:lang w:eastAsia="es-ES"/>
        </w:rPr>
        <w:t xml:space="preserve"> (SUMA), que ha permitido el tamizaje masivo de varias enfermedades infecciosas en la población general y grupos específicos, como embarazadas, donantes de sangre, portadores de la infección por el virus de la inmunodeficiencia humana (VIH) (</w:t>
      </w:r>
      <w:hyperlink r:id="rId54" w:anchor="B10" w:history="1">
        <w:r w:rsidRPr="003263E9">
          <w:rPr>
            <w:rFonts w:ascii="Arial" w:eastAsia="Times New Roman" w:hAnsi="Arial" w:cs="Arial"/>
            <w:color w:val="0000FF"/>
            <w:sz w:val="24"/>
            <w:szCs w:val="24"/>
            <w:u w:val="single"/>
            <w:lang w:eastAsia="es-ES"/>
          </w:rPr>
          <w:t>10</w:t>
        </w:r>
      </w:hyperlink>
      <w:r w:rsidRPr="003263E9">
        <w:rPr>
          <w:rFonts w:ascii="Arial" w:eastAsia="Times New Roman" w:hAnsi="Arial" w:cs="Arial"/>
          <w:sz w:val="24"/>
          <w:szCs w:val="24"/>
          <w:lang w:eastAsia="es-ES"/>
        </w:rPr>
        <w:t>). Hasta septiembre del 2014, se habían realizado más de 48 millones de pruebas mediante el SUMA para el control de la trasmisión del VIH, las hepatitis B y C, el dengue y las enfermedades de Chagas y de Hansen (lepra). En los donantes de sangre, se hicieron más de 34 millones de pruebas para el control de la transmisión del VIH y las hepatitis B y C (</w:t>
      </w:r>
      <w:hyperlink r:id="rId55" w:anchor="B23" w:history="1">
        <w:r w:rsidRPr="003263E9">
          <w:rPr>
            <w:rFonts w:ascii="Arial" w:eastAsia="Times New Roman" w:hAnsi="Arial" w:cs="Arial"/>
            <w:color w:val="0000FF"/>
            <w:sz w:val="24"/>
            <w:szCs w:val="24"/>
            <w:u w:val="single"/>
            <w:lang w:eastAsia="es-ES"/>
          </w:rPr>
          <w:t>23</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En el marco del Programa Nacional de Atención Materno Infantil se estudiaron más de 4 millones de gestantes hasta el 2014. La detección prenatal de defectos congénitos mediante la cuantificación de </w:t>
      </w:r>
      <w:proofErr w:type="spellStart"/>
      <w:r w:rsidRPr="003263E9">
        <w:rPr>
          <w:rFonts w:ascii="Arial" w:eastAsia="Times New Roman" w:hAnsi="Arial" w:cs="Arial"/>
          <w:sz w:val="24"/>
          <w:szCs w:val="24"/>
          <w:lang w:eastAsia="es-ES"/>
        </w:rPr>
        <w:t>alfafetoproteína</w:t>
      </w:r>
      <w:proofErr w:type="spellEnd"/>
      <w:r w:rsidRPr="003263E9">
        <w:rPr>
          <w:rFonts w:ascii="Arial" w:eastAsia="Times New Roman" w:hAnsi="Arial" w:cs="Arial"/>
          <w:sz w:val="24"/>
          <w:szCs w:val="24"/>
          <w:lang w:eastAsia="es-ES"/>
        </w:rPr>
        <w:t xml:space="preserve"> en el suero materno ha permitido ofrecer a las gestantes y sus parejas la realización de estudios adicionales, el asesoramiento genético o la terminación selectiva e informada de la gestación, pues mediante estas técnicas se pueden confirmar defectos congénitos graves en el feto (</w:t>
      </w:r>
      <w:hyperlink r:id="rId56" w:anchor="B24" w:history="1">
        <w:r w:rsidRPr="003263E9">
          <w:rPr>
            <w:rFonts w:ascii="Arial" w:eastAsia="Times New Roman" w:hAnsi="Arial" w:cs="Arial"/>
            <w:color w:val="0000FF"/>
            <w:sz w:val="24"/>
            <w:szCs w:val="24"/>
            <w:u w:val="single"/>
            <w:lang w:eastAsia="es-ES"/>
          </w:rPr>
          <w:t>24</w:t>
        </w:r>
      </w:hyperlink>
      <w:r w:rsidRPr="003263E9">
        <w:rPr>
          <w:rFonts w:ascii="Arial" w:eastAsia="Times New Roman" w:hAnsi="Arial" w:cs="Arial"/>
          <w:sz w:val="24"/>
          <w:szCs w:val="24"/>
          <w:lang w:eastAsia="es-ES"/>
        </w:rPr>
        <w:t>). Se han realizado, además, más de 7 millones de pruebas para el control de la trasmisión vertical del VIH, la sífilis y la hepatitis B a las gestantes y sus parejas, lo que contribuyó al logro de la designación de Cuba como el primer país del mundo en eliminar la transmisión vertical del VIH y la sífilis congénita (</w:t>
      </w:r>
      <w:hyperlink r:id="rId57" w:anchor="B25" w:history="1">
        <w:r w:rsidRPr="003263E9">
          <w:rPr>
            <w:rFonts w:ascii="Arial" w:eastAsia="Times New Roman" w:hAnsi="Arial" w:cs="Arial"/>
            <w:color w:val="0000FF"/>
            <w:sz w:val="24"/>
            <w:szCs w:val="24"/>
            <w:u w:val="single"/>
            <w:lang w:eastAsia="es-ES"/>
          </w:rPr>
          <w:t>25</w:t>
        </w:r>
      </w:hyperlink>
      <w:r w:rsidRPr="003263E9">
        <w:rPr>
          <w:rFonts w:ascii="Arial" w:eastAsia="Times New Roman" w:hAnsi="Arial" w:cs="Arial"/>
          <w:sz w:val="24"/>
          <w:szCs w:val="24"/>
          <w:lang w:eastAsia="es-ES"/>
        </w:rPr>
        <w:t>). En la actualidad, este programa cubre la atención de más del 95% de las gestantes del país (</w:t>
      </w:r>
      <w:hyperlink r:id="rId58" w:anchor="B24" w:history="1">
        <w:r w:rsidRPr="003263E9">
          <w:rPr>
            <w:rFonts w:ascii="Arial" w:eastAsia="Times New Roman" w:hAnsi="Arial" w:cs="Arial"/>
            <w:color w:val="0000FF"/>
            <w:sz w:val="24"/>
            <w:szCs w:val="24"/>
            <w:u w:val="single"/>
            <w:lang w:eastAsia="es-ES"/>
          </w:rPr>
          <w:t>24</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Las investigaciones también han facilitado la producción nacional de 8 de las 11 vacunas que integran el Programa Nacional de Inmunización, cuya cobertura es superior al 98%. Gracias a ello, enfermedades como el tétanos, la meningitis </w:t>
      </w:r>
      <w:proofErr w:type="spellStart"/>
      <w:r w:rsidRPr="003263E9">
        <w:rPr>
          <w:rFonts w:ascii="Arial" w:eastAsia="Times New Roman" w:hAnsi="Arial" w:cs="Arial"/>
          <w:sz w:val="24"/>
          <w:szCs w:val="24"/>
          <w:lang w:eastAsia="es-ES"/>
        </w:rPr>
        <w:t>meningocócica</w:t>
      </w:r>
      <w:proofErr w:type="spellEnd"/>
      <w:r w:rsidRPr="003263E9">
        <w:rPr>
          <w:rFonts w:ascii="Arial" w:eastAsia="Times New Roman" w:hAnsi="Arial" w:cs="Arial"/>
          <w:sz w:val="24"/>
          <w:szCs w:val="24"/>
          <w:lang w:eastAsia="es-ES"/>
        </w:rPr>
        <w:t xml:space="preserve">, la infección por </w:t>
      </w:r>
      <w:proofErr w:type="spellStart"/>
      <w:r w:rsidRPr="003263E9">
        <w:rPr>
          <w:rFonts w:ascii="Arial" w:eastAsia="Times New Roman" w:hAnsi="Arial" w:cs="Arial"/>
          <w:i/>
          <w:iCs/>
          <w:sz w:val="24"/>
          <w:szCs w:val="24"/>
          <w:lang w:eastAsia="es-ES"/>
        </w:rPr>
        <w:t>Haemophilus</w:t>
      </w:r>
      <w:proofErr w:type="spellEnd"/>
      <w:r w:rsidRPr="003263E9">
        <w:rPr>
          <w:rFonts w:ascii="Arial" w:eastAsia="Times New Roman" w:hAnsi="Arial" w:cs="Arial"/>
          <w:i/>
          <w:iCs/>
          <w:sz w:val="24"/>
          <w:szCs w:val="24"/>
          <w:lang w:eastAsia="es-ES"/>
        </w:rPr>
        <w:t xml:space="preserve"> </w:t>
      </w:r>
      <w:proofErr w:type="spellStart"/>
      <w:r w:rsidRPr="003263E9">
        <w:rPr>
          <w:rFonts w:ascii="Arial" w:eastAsia="Times New Roman" w:hAnsi="Arial" w:cs="Arial"/>
          <w:i/>
          <w:iCs/>
          <w:sz w:val="24"/>
          <w:szCs w:val="24"/>
          <w:lang w:eastAsia="es-ES"/>
        </w:rPr>
        <w:t>influenzae</w:t>
      </w:r>
      <w:proofErr w:type="spellEnd"/>
      <w:r w:rsidRPr="003263E9">
        <w:rPr>
          <w:rFonts w:ascii="Arial" w:eastAsia="Times New Roman" w:hAnsi="Arial" w:cs="Arial"/>
          <w:sz w:val="24"/>
          <w:szCs w:val="24"/>
          <w:lang w:eastAsia="es-ES"/>
        </w:rPr>
        <w:t xml:space="preserve"> tipo b y la fiebre tifoidea, han dejado de ser un problema de salud en Cuba, mientras la morbilidad y la mortalidad por hepatitis B se han reducido en más del 98% (</w:t>
      </w:r>
      <w:hyperlink r:id="rId59" w:anchor="B26" w:history="1">
        <w:r w:rsidRPr="003263E9">
          <w:rPr>
            <w:rFonts w:ascii="Arial" w:eastAsia="Times New Roman" w:hAnsi="Arial" w:cs="Arial"/>
            <w:color w:val="0000FF"/>
            <w:sz w:val="24"/>
            <w:szCs w:val="24"/>
            <w:u w:val="single"/>
            <w:lang w:eastAsia="es-ES"/>
          </w:rPr>
          <w:t>26</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Además de las vacunas preventivas, la biotecnología entrega al SNS otros productos, como </w:t>
      </w:r>
      <w:proofErr w:type="spellStart"/>
      <w:r w:rsidRPr="003263E9">
        <w:rPr>
          <w:rFonts w:ascii="Arial" w:eastAsia="Times New Roman" w:hAnsi="Arial" w:cs="Arial"/>
          <w:sz w:val="24"/>
          <w:szCs w:val="24"/>
          <w:lang w:eastAsia="es-ES"/>
        </w:rPr>
        <w:t>biofármacos</w:t>
      </w:r>
      <w:proofErr w:type="spellEnd"/>
      <w:r w:rsidRPr="003263E9">
        <w:rPr>
          <w:rFonts w:ascii="Arial" w:eastAsia="Times New Roman" w:hAnsi="Arial" w:cs="Arial"/>
          <w:sz w:val="24"/>
          <w:szCs w:val="24"/>
          <w:lang w:eastAsia="es-ES"/>
        </w:rPr>
        <w:t xml:space="preserve"> para el tratamiento de enfermedades no transmisibles </w:t>
      </w:r>
      <w:r w:rsidRPr="003263E9">
        <w:rPr>
          <w:rFonts w:ascii="Arial" w:eastAsia="Times New Roman" w:hAnsi="Arial" w:cs="Arial"/>
          <w:sz w:val="24"/>
          <w:szCs w:val="24"/>
          <w:lang w:eastAsia="es-ES"/>
        </w:rPr>
        <w:lastRenderedPageBreak/>
        <w:t xml:space="preserve">(cardiovasculares, oncológicas y diabetes, entre otras). Otro ejemplo es el grupo de tecnologías desarrolladas para el tamizaje, la detección y el tratamiento temprano del cáncer </w:t>
      </w:r>
      <w:proofErr w:type="spellStart"/>
      <w:r w:rsidRPr="003263E9">
        <w:rPr>
          <w:rFonts w:ascii="Arial" w:eastAsia="Times New Roman" w:hAnsi="Arial" w:cs="Arial"/>
          <w:sz w:val="24"/>
          <w:szCs w:val="24"/>
          <w:lang w:eastAsia="es-ES"/>
        </w:rPr>
        <w:t>cervicouterino</w:t>
      </w:r>
      <w:proofErr w:type="spellEnd"/>
      <w:r w:rsidRPr="003263E9">
        <w:rPr>
          <w:rFonts w:ascii="Arial" w:eastAsia="Times New Roman" w:hAnsi="Arial" w:cs="Arial"/>
          <w:sz w:val="24"/>
          <w:szCs w:val="24"/>
          <w:lang w:eastAsia="es-ES"/>
        </w:rPr>
        <w:t>, suministrado al SNS desde el 2010; entre los años 2012 y 2014 se analizó el 71,8% de las mujeres entre 25 y 64 años, lo que significó un avance respecto al 2009. Sin embargo, ese porcentaje quedó por debajo del 80% de cobertura recomendado por la OMS para evaluar si estas intervenciones han incidido en la disminución de la mortalidad por esta neoplasia (</w:t>
      </w:r>
      <w:hyperlink r:id="rId60" w:anchor="B39" w:history="1">
        <w:r w:rsidRPr="003263E9">
          <w:rPr>
            <w:rFonts w:ascii="Arial" w:eastAsia="Times New Roman" w:hAnsi="Arial" w:cs="Arial"/>
            <w:color w:val="0000FF"/>
            <w:sz w:val="24"/>
            <w:szCs w:val="24"/>
            <w:u w:val="single"/>
            <w:lang w:eastAsia="es-ES"/>
          </w:rPr>
          <w:t>39</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Los productos y las tecnologías de </w:t>
      </w: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xml:space="preserve"> forman parte del Cuadro Básico de Medicamentos (</w:t>
      </w:r>
      <w:hyperlink r:id="rId61" w:anchor="B17" w:history="1">
        <w:r w:rsidRPr="003263E9">
          <w:rPr>
            <w:rFonts w:ascii="Arial" w:eastAsia="Times New Roman" w:hAnsi="Arial" w:cs="Arial"/>
            <w:color w:val="0000FF"/>
            <w:sz w:val="24"/>
            <w:szCs w:val="24"/>
            <w:u w:val="single"/>
            <w:lang w:eastAsia="es-ES"/>
          </w:rPr>
          <w:t>17</w:t>
        </w:r>
      </w:hyperlink>
      <w:r w:rsidRPr="003263E9">
        <w:rPr>
          <w:rFonts w:ascii="Arial" w:eastAsia="Times New Roman" w:hAnsi="Arial" w:cs="Arial"/>
          <w:sz w:val="24"/>
          <w:szCs w:val="24"/>
          <w:lang w:eastAsia="es-ES"/>
        </w:rPr>
        <w:t>) y otras aplicaciones del MINSAP, por lo que reducen significativamente las importaciones.</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Educación de las personas con diabetes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Las investigaciones e intervenciones acerca de los conocimientos, las actitudes y las prácticas de las personas con diabetes, iniciadas en el Instituto Nacional de Endocrinología, han sido un pilar fundamental del Programa Nacional de Atención y Educación al Paciente Diabético, implementado en 1981 (</w:t>
      </w:r>
      <w:hyperlink r:id="rId62" w:anchor="B31" w:history="1">
        <w:r w:rsidRPr="003263E9">
          <w:rPr>
            <w:rFonts w:ascii="Arial" w:eastAsia="Times New Roman" w:hAnsi="Arial" w:cs="Arial"/>
            <w:color w:val="0000FF"/>
            <w:sz w:val="24"/>
            <w:szCs w:val="24"/>
            <w:u w:val="single"/>
            <w:lang w:eastAsia="es-ES"/>
          </w:rPr>
          <w:t>31</w:t>
        </w:r>
      </w:hyperlink>
      <w:r w:rsidRPr="003263E9">
        <w:rPr>
          <w:rFonts w:ascii="Arial" w:eastAsia="Times New Roman" w:hAnsi="Arial" w:cs="Arial"/>
          <w:sz w:val="24"/>
          <w:szCs w:val="24"/>
          <w:lang w:eastAsia="es-ES"/>
        </w:rPr>
        <w:t xml:space="preserve">). Sus resultados contribuyen a evitar las complicaciones y elevar la calidad de vida de los enfermos, que han podido prescindir del uso de nuevos tipos de insulina u otras tecnologías. Aunque se ha introducido el </w:t>
      </w:r>
      <w:proofErr w:type="spellStart"/>
      <w:r w:rsidRPr="003263E9">
        <w:rPr>
          <w:rFonts w:ascii="Arial" w:eastAsia="Times New Roman" w:hAnsi="Arial" w:cs="Arial"/>
          <w:sz w:val="24"/>
          <w:szCs w:val="24"/>
          <w:lang w:eastAsia="es-ES"/>
        </w:rPr>
        <w:t>Heberprot</w:t>
      </w:r>
      <w:proofErr w:type="spellEnd"/>
      <w:r w:rsidRPr="003263E9">
        <w:rPr>
          <w:rFonts w:ascii="Arial" w:eastAsia="Times New Roman" w:hAnsi="Arial" w:cs="Arial"/>
          <w:sz w:val="24"/>
          <w:szCs w:val="24"/>
          <w:lang w:eastAsia="es-ES"/>
        </w:rPr>
        <w:t>-P</w:t>
      </w:r>
      <w:r w:rsidRPr="003263E9">
        <w:rPr>
          <w:rFonts w:ascii="Arial" w:eastAsia="Times New Roman" w:hAnsi="Arial" w:cs="Arial"/>
          <w:sz w:val="24"/>
          <w:szCs w:val="24"/>
          <w:vertAlign w:val="superscript"/>
          <w:lang w:eastAsia="es-ES"/>
        </w:rPr>
        <w:t>®</w:t>
      </w:r>
      <w:r w:rsidRPr="003263E9">
        <w:rPr>
          <w:rFonts w:ascii="Arial" w:eastAsia="Times New Roman" w:hAnsi="Arial" w:cs="Arial"/>
          <w:sz w:val="24"/>
          <w:szCs w:val="24"/>
          <w:lang w:eastAsia="es-ES"/>
        </w:rPr>
        <w:t xml:space="preserve"> como tratamiento eficaz de las úlceras del pie diabético (</w:t>
      </w:r>
      <w:hyperlink r:id="rId63" w:anchor="B30" w:history="1">
        <w:r w:rsidRPr="003263E9">
          <w:rPr>
            <w:rFonts w:ascii="Arial" w:eastAsia="Times New Roman" w:hAnsi="Arial" w:cs="Arial"/>
            <w:color w:val="0000FF"/>
            <w:sz w:val="24"/>
            <w:szCs w:val="24"/>
            <w:u w:val="single"/>
            <w:lang w:eastAsia="es-ES"/>
          </w:rPr>
          <w:t>30</w:t>
        </w:r>
      </w:hyperlink>
      <w:r w:rsidRPr="003263E9">
        <w:rPr>
          <w:rFonts w:ascii="Arial" w:eastAsia="Times New Roman" w:hAnsi="Arial" w:cs="Arial"/>
          <w:sz w:val="24"/>
          <w:szCs w:val="24"/>
          <w:lang w:eastAsia="es-ES"/>
        </w:rPr>
        <w:t>), se demostró que solo con el cumplimiento estricto de las normas terapéuticas e higiénicas contenidas en el programa, el paciente puede obtener el máximo beneficio del producto.</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Las investigaciones mostraron un aumento de los conocimientos y las destrezas de los pacientes para el cuidado diario (independientemente de la edad, el grado de escolaridad, el tipo y la duración de la diabetes), asociado a una notable disminución de las cifras promedio de hemoglobina </w:t>
      </w:r>
      <w:proofErr w:type="spellStart"/>
      <w:r w:rsidRPr="003263E9">
        <w:rPr>
          <w:rFonts w:ascii="Arial" w:eastAsia="Times New Roman" w:hAnsi="Arial" w:cs="Arial"/>
          <w:sz w:val="24"/>
          <w:szCs w:val="24"/>
          <w:lang w:eastAsia="es-ES"/>
        </w:rPr>
        <w:t>glicosilada</w:t>
      </w:r>
      <w:proofErr w:type="spellEnd"/>
      <w:r w:rsidRPr="003263E9">
        <w:rPr>
          <w:rFonts w:ascii="Arial" w:eastAsia="Times New Roman" w:hAnsi="Arial" w:cs="Arial"/>
          <w:sz w:val="24"/>
          <w:szCs w:val="24"/>
          <w:lang w:eastAsia="es-ES"/>
        </w:rPr>
        <w:t xml:space="preserve"> (HbA</w:t>
      </w:r>
      <w:r w:rsidRPr="003263E9">
        <w:rPr>
          <w:rFonts w:ascii="Arial" w:eastAsia="Times New Roman" w:hAnsi="Arial" w:cs="Arial"/>
          <w:sz w:val="24"/>
          <w:szCs w:val="24"/>
          <w:vertAlign w:val="subscript"/>
          <w:lang w:eastAsia="es-ES"/>
        </w:rPr>
        <w:t>1</w:t>
      </w:r>
      <w:r w:rsidRPr="003263E9">
        <w:rPr>
          <w:rFonts w:ascii="Arial" w:eastAsia="Times New Roman" w:hAnsi="Arial" w:cs="Arial"/>
          <w:sz w:val="24"/>
          <w:szCs w:val="24"/>
          <w:lang w:eastAsia="es-ES"/>
        </w:rPr>
        <w:t>), y la reducción de las dosis de medicamentos, la frecuencia de sobrepeso corporal y el número promedio de hospitalizaciones por descompensación (</w:t>
      </w:r>
      <w:hyperlink r:id="rId64" w:anchor="B31" w:history="1">
        <w:r w:rsidRPr="003263E9">
          <w:rPr>
            <w:rFonts w:ascii="Arial" w:eastAsia="Times New Roman" w:hAnsi="Arial" w:cs="Arial"/>
            <w:color w:val="0000FF"/>
            <w:sz w:val="24"/>
            <w:szCs w:val="24"/>
            <w:u w:val="single"/>
            <w:lang w:eastAsia="es-ES"/>
          </w:rPr>
          <w:t>31</w:t>
        </w:r>
      </w:hyperlink>
      <w:r w:rsidRPr="003263E9">
        <w:rPr>
          <w:rFonts w:ascii="Arial" w:eastAsia="Times New Roman" w:hAnsi="Arial" w:cs="Arial"/>
          <w:sz w:val="24"/>
          <w:szCs w:val="24"/>
          <w:lang w:eastAsia="es-ES"/>
        </w:rPr>
        <w:t xml:space="preserve">, </w:t>
      </w:r>
      <w:hyperlink r:id="rId65" w:anchor="B32" w:history="1">
        <w:r w:rsidRPr="003263E9">
          <w:rPr>
            <w:rFonts w:ascii="Arial" w:eastAsia="Times New Roman" w:hAnsi="Arial" w:cs="Arial"/>
            <w:color w:val="0000FF"/>
            <w:sz w:val="24"/>
            <w:szCs w:val="24"/>
            <w:u w:val="single"/>
            <w:lang w:eastAsia="es-ES"/>
          </w:rPr>
          <w:t>32</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 los pacientes con diabetes tipo 1 de inicio reciente, se estudió la aparición y el desarrollo de las complicaciones a largo plazo. Se encontró que la frecuencia de retinopatía diabética había sido significativamente menor en el grupo seguido con una metodología interactiva —basada en el diálogo constructivo entre quien emite la información y quien la recibe; de esta forma, se escuchan criterios, se desarrollan habilidades para afrontar las diferentes exigencias terapéuticas y se trabaja para desarrollar motivaciones y autoconfianza para afrontar los problemas—, con respecto a los pacientes que solo recibían educación individual mediante la consulta médica tradicional. Un resultado similar se obtuvo cuando se evaluó la evolución de la nefropatía y la neuropatía periférica (</w:t>
      </w:r>
      <w:hyperlink r:id="rId66" w:anchor="B31" w:history="1">
        <w:r w:rsidRPr="003263E9">
          <w:rPr>
            <w:rFonts w:ascii="Arial" w:eastAsia="Times New Roman" w:hAnsi="Arial" w:cs="Arial"/>
            <w:color w:val="0000FF"/>
            <w:sz w:val="24"/>
            <w:szCs w:val="24"/>
            <w:u w:val="single"/>
            <w:lang w:eastAsia="es-ES"/>
          </w:rPr>
          <w:t>31</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Lo expuesto no minimiza la magnitud de la diabetes como problema de salud, por lo que se debe continuar trabajando en la comunidad con los pacientes y la población general para su prevención, mediante el cumplimiento correcto del </w:t>
      </w:r>
      <w:r w:rsidRPr="003263E9">
        <w:rPr>
          <w:rFonts w:ascii="Arial" w:eastAsia="Times New Roman" w:hAnsi="Arial" w:cs="Arial"/>
          <w:sz w:val="24"/>
          <w:szCs w:val="24"/>
          <w:lang w:eastAsia="es-ES"/>
        </w:rPr>
        <w:lastRenderedPageBreak/>
        <w:t>tratamiento médico e higiénico-sanitario (</w:t>
      </w:r>
      <w:hyperlink r:id="rId67" w:anchor="B32" w:history="1">
        <w:r w:rsidRPr="003263E9">
          <w:rPr>
            <w:rFonts w:ascii="Arial" w:eastAsia="Times New Roman" w:hAnsi="Arial" w:cs="Arial"/>
            <w:color w:val="0000FF"/>
            <w:sz w:val="24"/>
            <w:szCs w:val="24"/>
            <w:u w:val="single"/>
            <w:lang w:eastAsia="es-ES"/>
          </w:rPr>
          <w:t>32</w:t>
        </w:r>
      </w:hyperlink>
      <w:r w:rsidRPr="003263E9">
        <w:rPr>
          <w:rFonts w:ascii="Arial" w:eastAsia="Times New Roman" w:hAnsi="Arial" w:cs="Arial"/>
          <w:sz w:val="24"/>
          <w:szCs w:val="24"/>
          <w:lang w:eastAsia="es-ES"/>
        </w:rPr>
        <w:t>). Sigue siendo fundamental la divulgación de la importancia de la autorresponsabilidad en la salud (</w:t>
      </w:r>
      <w:hyperlink r:id="rId68" w:anchor="B40" w:history="1">
        <w:r w:rsidRPr="003263E9">
          <w:rPr>
            <w:rFonts w:ascii="Arial" w:eastAsia="Times New Roman" w:hAnsi="Arial" w:cs="Arial"/>
            <w:color w:val="0000FF"/>
            <w:sz w:val="24"/>
            <w:szCs w:val="24"/>
            <w:u w:val="single"/>
            <w:lang w:eastAsia="es-ES"/>
          </w:rPr>
          <w:t>40</w:t>
        </w:r>
      </w:hyperlink>
      <w:r w:rsidRPr="003263E9">
        <w:rPr>
          <w:rFonts w:ascii="Arial" w:eastAsia="Times New Roman" w:hAnsi="Arial" w:cs="Arial"/>
          <w:sz w:val="24"/>
          <w:szCs w:val="24"/>
          <w:lang w:eastAsia="es-ES"/>
        </w:rPr>
        <w:t>).</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Investigaciones acerca del dengue</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Estos estudios alcanzaron su máxima expresión en 1981, con la epidemia letal de dengue hemorrágico que afectó al país (</w:t>
      </w:r>
      <w:hyperlink r:id="rId69" w:anchor="B41" w:history="1">
        <w:r w:rsidRPr="003263E9">
          <w:rPr>
            <w:rFonts w:ascii="Arial" w:eastAsia="Times New Roman" w:hAnsi="Arial" w:cs="Arial"/>
            <w:color w:val="0000FF"/>
            <w:sz w:val="24"/>
            <w:szCs w:val="24"/>
            <w:u w:val="single"/>
            <w:lang w:eastAsia="es-ES"/>
          </w:rPr>
          <w:t>41</w:t>
        </w:r>
      </w:hyperlink>
      <w:r w:rsidRPr="003263E9">
        <w:rPr>
          <w:rFonts w:ascii="Arial" w:eastAsia="Times New Roman" w:hAnsi="Arial" w:cs="Arial"/>
          <w:sz w:val="24"/>
          <w:szCs w:val="24"/>
          <w:lang w:eastAsia="es-ES"/>
        </w:rPr>
        <w:t>). Los primeros esfuerzos estuvieron dirigidos a la epidemiología de la enfermedad, y a la caracterización de la evolución clínica de los niños fallecidos por dengue grave y sus signos de alarma, definidos como “un grupo de signos y síntomas que anuncian la inminencia del choque por dengue” (</w:t>
      </w:r>
      <w:hyperlink r:id="rId70" w:anchor="B36" w:history="1">
        <w:r w:rsidRPr="003263E9">
          <w:rPr>
            <w:rFonts w:ascii="Arial" w:eastAsia="Times New Roman" w:hAnsi="Arial" w:cs="Arial"/>
            <w:color w:val="0000FF"/>
            <w:sz w:val="24"/>
            <w:szCs w:val="24"/>
            <w:u w:val="single"/>
            <w:lang w:eastAsia="es-ES"/>
          </w:rPr>
          <w:t>36</w:t>
        </w:r>
      </w:hyperlink>
      <w:r w:rsidRPr="003263E9">
        <w:rPr>
          <w:rFonts w:ascii="Arial" w:eastAsia="Times New Roman" w:hAnsi="Arial" w:cs="Arial"/>
          <w:sz w:val="24"/>
          <w:szCs w:val="24"/>
          <w:lang w:eastAsia="es-ES"/>
        </w:rPr>
        <w:t>). Estos trabajos recibieron el reconocimiento de la Organización Panamericana de la Salud (OPS) y la OMS como la pauta para identificar tempranamente a los pacientes que van a evolucionar hacia el dengue grave, quienes requieren de una atención terapéutica diferenciada (</w:t>
      </w:r>
      <w:hyperlink r:id="rId71" w:anchor="B33" w:history="1">
        <w:r w:rsidRPr="003263E9">
          <w:rPr>
            <w:rFonts w:ascii="Arial" w:eastAsia="Times New Roman" w:hAnsi="Arial" w:cs="Arial"/>
            <w:color w:val="0000FF"/>
            <w:sz w:val="24"/>
            <w:szCs w:val="24"/>
            <w:u w:val="single"/>
            <w:lang w:eastAsia="es-ES"/>
          </w:rPr>
          <w:t>33</w:t>
        </w:r>
      </w:hyperlink>
      <w:r w:rsidRPr="003263E9">
        <w:rPr>
          <w:rFonts w:ascii="Arial" w:eastAsia="Times New Roman" w:hAnsi="Arial" w:cs="Arial"/>
          <w:sz w:val="24"/>
          <w:szCs w:val="24"/>
          <w:lang w:eastAsia="es-ES"/>
        </w:rPr>
        <w:t>–</w:t>
      </w:r>
      <w:hyperlink r:id="rId72" w:anchor="B35" w:history="1">
        <w:r w:rsidRPr="003263E9">
          <w:rPr>
            <w:rFonts w:ascii="Arial" w:eastAsia="Times New Roman" w:hAnsi="Arial" w:cs="Arial"/>
            <w:color w:val="0000FF"/>
            <w:sz w:val="24"/>
            <w:szCs w:val="24"/>
            <w:u w:val="single"/>
            <w:lang w:eastAsia="es-ES"/>
          </w:rPr>
          <w:t>35</w:t>
        </w:r>
      </w:hyperlink>
      <w:r w:rsidRPr="003263E9">
        <w:rPr>
          <w:rFonts w:ascii="Arial" w:eastAsia="Times New Roman" w:hAnsi="Arial" w:cs="Arial"/>
          <w:sz w:val="24"/>
          <w:szCs w:val="24"/>
          <w:lang w:eastAsia="es-ES"/>
        </w:rPr>
        <w:t>). El estudio prospectivo DENCO (</w:t>
      </w:r>
      <w:hyperlink r:id="rId73" w:anchor="B36" w:history="1">
        <w:r w:rsidRPr="003263E9">
          <w:rPr>
            <w:rFonts w:ascii="Arial" w:eastAsia="Times New Roman" w:hAnsi="Arial" w:cs="Arial"/>
            <w:color w:val="0000FF"/>
            <w:sz w:val="24"/>
            <w:szCs w:val="24"/>
            <w:u w:val="single"/>
            <w:lang w:eastAsia="es-ES"/>
          </w:rPr>
          <w:t>36</w:t>
        </w:r>
      </w:hyperlink>
      <w:r w:rsidRPr="003263E9">
        <w:rPr>
          <w:rFonts w:ascii="Arial" w:eastAsia="Times New Roman" w:hAnsi="Arial" w:cs="Arial"/>
          <w:sz w:val="24"/>
          <w:szCs w:val="24"/>
          <w:lang w:eastAsia="es-ES"/>
        </w:rPr>
        <w:t>), que abarcó a más de 1 700 casos confirmados, mostró que la clasificación basada en los signos de alarma inicialmente empleada en Cuba tenía 96% de sensibilidad y 100% de especificidad, por lo que se incorporó a los documentos normativos de la OMS y a las guías cubanas y de varios países de la Región para el manejo integral de los pacientes con dengue.</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Entre estas investigaciones, lideradas por el Instituto de Medicina Tropical Pedro </w:t>
      </w:r>
      <w:proofErr w:type="spellStart"/>
      <w:r w:rsidRPr="003263E9">
        <w:rPr>
          <w:rFonts w:ascii="Arial" w:eastAsia="Times New Roman" w:hAnsi="Arial" w:cs="Arial"/>
          <w:sz w:val="24"/>
          <w:szCs w:val="24"/>
          <w:lang w:eastAsia="es-ES"/>
        </w:rPr>
        <w:t>Kourí</w:t>
      </w:r>
      <w:proofErr w:type="spellEnd"/>
      <w:r w:rsidRPr="003263E9">
        <w:rPr>
          <w:rFonts w:ascii="Arial" w:eastAsia="Times New Roman" w:hAnsi="Arial" w:cs="Arial"/>
          <w:sz w:val="24"/>
          <w:szCs w:val="24"/>
          <w:lang w:eastAsia="es-ES"/>
        </w:rPr>
        <w:t>, se destacan el establecimiento de la hipótesis integral sobre el dengue hemorrágico (</w:t>
      </w:r>
      <w:hyperlink r:id="rId74" w:anchor="B41" w:history="1">
        <w:r w:rsidRPr="003263E9">
          <w:rPr>
            <w:rFonts w:ascii="Arial" w:eastAsia="Times New Roman" w:hAnsi="Arial" w:cs="Arial"/>
            <w:color w:val="0000FF"/>
            <w:sz w:val="24"/>
            <w:szCs w:val="24"/>
            <w:u w:val="single"/>
            <w:lang w:eastAsia="es-ES"/>
          </w:rPr>
          <w:t>41</w:t>
        </w:r>
      </w:hyperlink>
      <w:r w:rsidRPr="003263E9">
        <w:rPr>
          <w:rFonts w:ascii="Arial" w:eastAsia="Times New Roman" w:hAnsi="Arial" w:cs="Arial"/>
          <w:sz w:val="24"/>
          <w:szCs w:val="24"/>
          <w:lang w:eastAsia="es-ES"/>
        </w:rPr>
        <w:t>) y los estudios virológicos para la caracterización de los virus causantes de las epidemias y los brotes de esta enfermedad en Cuba, y los marcadores de virulencia y su asociación con el dengue grave. Estas investigaciones también han beneficiado a otros países de la Región.</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Los estudios entomológicos y las investigaciones operacionales para el control del mosquito </w:t>
      </w:r>
      <w:r w:rsidRPr="003263E9">
        <w:rPr>
          <w:rFonts w:ascii="Arial" w:eastAsia="Times New Roman" w:hAnsi="Arial" w:cs="Arial"/>
          <w:i/>
          <w:iCs/>
          <w:sz w:val="24"/>
          <w:szCs w:val="24"/>
          <w:lang w:eastAsia="es-ES"/>
        </w:rPr>
        <w:t xml:space="preserve">Aedes </w:t>
      </w:r>
      <w:proofErr w:type="spellStart"/>
      <w:r w:rsidRPr="003263E9">
        <w:rPr>
          <w:rFonts w:ascii="Arial" w:eastAsia="Times New Roman" w:hAnsi="Arial" w:cs="Arial"/>
          <w:i/>
          <w:iCs/>
          <w:sz w:val="24"/>
          <w:szCs w:val="24"/>
          <w:lang w:eastAsia="es-ES"/>
        </w:rPr>
        <w:t>aegypti</w:t>
      </w:r>
      <w:proofErr w:type="spellEnd"/>
      <w:r w:rsidRPr="003263E9">
        <w:rPr>
          <w:rFonts w:ascii="Arial" w:eastAsia="Times New Roman" w:hAnsi="Arial" w:cs="Arial"/>
          <w:sz w:val="24"/>
          <w:szCs w:val="24"/>
          <w:lang w:eastAsia="es-ES"/>
        </w:rPr>
        <w:t xml:space="preserve"> han permitido caracterizar e identificar los principales sitios de cría y los mecanismos de resistencia del vector. Asimismo, </w:t>
      </w:r>
      <w:proofErr w:type="spellStart"/>
      <w:r w:rsidRPr="003263E9">
        <w:rPr>
          <w:rFonts w:ascii="Arial" w:eastAsia="Times New Roman" w:hAnsi="Arial" w:cs="Arial"/>
          <w:sz w:val="24"/>
          <w:szCs w:val="24"/>
          <w:lang w:eastAsia="es-ES"/>
        </w:rPr>
        <w:t>BioCubaFarma</w:t>
      </w:r>
      <w:proofErr w:type="spellEnd"/>
      <w:r w:rsidRPr="003263E9">
        <w:rPr>
          <w:rFonts w:ascii="Arial" w:eastAsia="Times New Roman" w:hAnsi="Arial" w:cs="Arial"/>
          <w:sz w:val="24"/>
          <w:szCs w:val="24"/>
          <w:lang w:eastAsia="es-ES"/>
        </w:rPr>
        <w:t xml:space="preserve"> y otros centros trabajan para la obtención de un candidato </w:t>
      </w:r>
      <w:proofErr w:type="spellStart"/>
      <w:r w:rsidRPr="003263E9">
        <w:rPr>
          <w:rFonts w:ascii="Arial" w:eastAsia="Times New Roman" w:hAnsi="Arial" w:cs="Arial"/>
          <w:sz w:val="24"/>
          <w:szCs w:val="24"/>
          <w:lang w:eastAsia="es-ES"/>
        </w:rPr>
        <w:t>vacunal</w:t>
      </w:r>
      <w:proofErr w:type="spellEnd"/>
      <w:r w:rsidRPr="003263E9">
        <w:rPr>
          <w:rFonts w:ascii="Arial" w:eastAsia="Times New Roman" w:hAnsi="Arial" w:cs="Arial"/>
          <w:sz w:val="24"/>
          <w:szCs w:val="24"/>
          <w:lang w:eastAsia="es-ES"/>
        </w:rPr>
        <w:t xml:space="preserve"> contra esta enfermedad.</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También son relevantes los estudios sobre los determinantes socioeconómicos y la participación social e intersectorial, así como los relacionados con los conocimientos, las actitudes y las prácticas de la población. Pese a las medidas tomadas por el MINSAP y el apoyo estatal, al cierre del 2016 existían municipios con índices de infestación</w:t>
      </w:r>
      <w:hyperlink r:id="rId75" w:anchor="fn3" w:history="1">
        <w:r w:rsidRPr="003263E9">
          <w:rPr>
            <w:rFonts w:ascii="Arial" w:eastAsia="Times New Roman" w:hAnsi="Arial" w:cs="Arial"/>
            <w:color w:val="0000FF"/>
            <w:sz w:val="24"/>
            <w:szCs w:val="24"/>
            <w:u w:val="single"/>
            <w:vertAlign w:val="superscript"/>
            <w:lang w:eastAsia="es-ES"/>
          </w:rPr>
          <w:t>8</w:t>
        </w:r>
      </w:hyperlink>
      <w:r w:rsidRPr="003263E9">
        <w:rPr>
          <w:rFonts w:ascii="Arial" w:eastAsia="Times New Roman" w:hAnsi="Arial" w:cs="Arial"/>
          <w:sz w:val="24"/>
          <w:szCs w:val="24"/>
          <w:lang w:eastAsia="es-ES"/>
        </w:rPr>
        <w:t xml:space="preserve"> por encima del nivel permisible para el control de epidemias establecido en el Programa Nacional de Erradicación del </w:t>
      </w:r>
      <w:r w:rsidRPr="003263E9">
        <w:rPr>
          <w:rFonts w:ascii="Arial" w:eastAsia="Times New Roman" w:hAnsi="Arial" w:cs="Arial"/>
          <w:i/>
          <w:iCs/>
          <w:sz w:val="24"/>
          <w:szCs w:val="24"/>
          <w:lang w:eastAsia="es-ES"/>
        </w:rPr>
        <w:t xml:space="preserve">Aedes </w:t>
      </w:r>
      <w:proofErr w:type="spellStart"/>
      <w:r w:rsidRPr="003263E9">
        <w:rPr>
          <w:rFonts w:ascii="Arial" w:eastAsia="Times New Roman" w:hAnsi="Arial" w:cs="Arial"/>
          <w:i/>
          <w:iCs/>
          <w:sz w:val="24"/>
          <w:szCs w:val="24"/>
          <w:lang w:eastAsia="es-ES"/>
        </w:rPr>
        <w:t>aegypti</w:t>
      </w:r>
      <w:proofErr w:type="spellEnd"/>
      <w:r w:rsidRPr="003263E9">
        <w:rPr>
          <w:rFonts w:ascii="Arial" w:eastAsia="Times New Roman" w:hAnsi="Arial" w:cs="Arial"/>
          <w:sz w:val="24"/>
          <w:szCs w:val="24"/>
          <w:lang w:eastAsia="es-ES"/>
        </w:rPr>
        <w:t xml:space="preserve"> (0,05), lo que confirma la importancia de los determinantes socioeconómicos para el control de la enfermedad. Actualmente estas investigaciones abarcan el estudio de otras </w:t>
      </w:r>
      <w:proofErr w:type="spellStart"/>
      <w:r w:rsidRPr="003263E9">
        <w:rPr>
          <w:rFonts w:ascii="Arial" w:eastAsia="Times New Roman" w:hAnsi="Arial" w:cs="Arial"/>
          <w:sz w:val="24"/>
          <w:szCs w:val="24"/>
          <w:lang w:eastAsia="es-ES"/>
        </w:rPr>
        <w:t>arbovirosis</w:t>
      </w:r>
      <w:proofErr w:type="spellEnd"/>
      <w:r w:rsidRPr="003263E9">
        <w:rPr>
          <w:rFonts w:ascii="Arial" w:eastAsia="Times New Roman" w:hAnsi="Arial" w:cs="Arial"/>
          <w:sz w:val="24"/>
          <w:szCs w:val="24"/>
          <w:lang w:eastAsia="es-ES"/>
        </w:rPr>
        <w:t xml:space="preserve"> causadas por el mismo vector </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Estudio biopsicosocial de las personas con discapacidad</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Las personas con discapacidad constituyen uno de los sectores más vulnerables en todas las sociedades; en la actualidad, su atención y estudio son un desafío en </w:t>
      </w:r>
      <w:r w:rsidRPr="003263E9">
        <w:rPr>
          <w:rFonts w:ascii="Arial" w:eastAsia="Times New Roman" w:hAnsi="Arial" w:cs="Arial"/>
          <w:sz w:val="24"/>
          <w:szCs w:val="24"/>
          <w:lang w:eastAsia="es-ES"/>
        </w:rPr>
        <w:lastRenderedPageBreak/>
        <w:t xml:space="preserve">cualquier país. En Cuba se diseñó y realizó el primer estudio integral de personas con discapacidad entre los años 2001 y 2003 </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Se estudiaron 366 864 personas con discapacidad (cuya prevalencia en la población examinada fue de 3,26%). Las mayores tasas se encontraron en las provincias de Guantánamo (4,13%) y Santiago de Cuba (3,79%).</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En la encuesta se detectaron 140 489 (38,29%) personas con discapacidad intelectual, para una prevalencia de 1,25%. De los encuestados detectados, 92 506 (25,2%) presentaban discapacidad físico-motora, para una prevalencia de 0,82%; 46 455 (12,7%) tenían discapacidad visual (prevalencia de 0,41%); 36 869 (10,1%), discapacidad mental (prevalencia de 0,33%); 23 620 (6,4%) trastornos auditivos (prevalencia de 0,21%); 25 094 (6,8%) presentaban discapacidades mixtas (prevalencia de 0,22%); y 1 831 (0,5%) tenían diagnóstico de insuficiencia renal crónica (prevalencia de 0,02%) </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Entre los programas desarrollados para atender la discapacidad, de acuerdo con los resultados de la investigación, se destacan:</w:t>
      </w:r>
    </w:p>
    <w:p w:rsidR="002625DA" w:rsidRPr="003263E9" w:rsidRDefault="002625DA" w:rsidP="003263E9">
      <w:pPr>
        <w:numPr>
          <w:ilvl w:val="0"/>
          <w:numId w:val="3"/>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diseño de programas con base comunitaria: genética, rehabilitación y trabajo social</w:t>
      </w:r>
    </w:p>
    <w:p w:rsidR="002625DA" w:rsidRPr="003263E9" w:rsidRDefault="002625DA" w:rsidP="003263E9">
      <w:pPr>
        <w:numPr>
          <w:ilvl w:val="0"/>
          <w:numId w:val="3"/>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establecimiento de 23 líneas de investigación sobre los factores asociados con la discapacidad</w:t>
      </w:r>
    </w:p>
    <w:p w:rsidR="002625DA" w:rsidRPr="003263E9" w:rsidRDefault="002625DA" w:rsidP="003263E9">
      <w:pPr>
        <w:numPr>
          <w:ilvl w:val="0"/>
          <w:numId w:val="3"/>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el reconocimiento legal de la condición de “madre cuidadora”, que percibe su salario íntegro por atender en el hogar a su hijo con discapacidad</w:t>
      </w:r>
    </w:p>
    <w:p w:rsidR="002625DA" w:rsidRPr="003263E9" w:rsidRDefault="002625DA" w:rsidP="003263E9">
      <w:pPr>
        <w:numPr>
          <w:ilvl w:val="0"/>
          <w:numId w:val="3"/>
        </w:num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la entrega de ayudas técnicas y económicas, y alimentación gratuita a las personas con discapacidad.</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A solicitud de sus gobiernos, la investigación se replicó en Venezuela, Ecuador, Nicaragua, Bolivia, y San Vicente y las </w:t>
      </w:r>
      <w:proofErr w:type="gramStart"/>
      <w:r w:rsidRPr="003263E9">
        <w:rPr>
          <w:rFonts w:ascii="Arial" w:eastAsia="Times New Roman" w:hAnsi="Arial" w:cs="Arial"/>
          <w:sz w:val="24"/>
          <w:szCs w:val="24"/>
          <w:lang w:eastAsia="es-ES"/>
        </w:rPr>
        <w:t>Granadinas</w:t>
      </w:r>
      <w:proofErr w:type="gramEnd"/>
      <w:r w:rsidRPr="003263E9">
        <w:rPr>
          <w:rFonts w:ascii="Arial" w:eastAsia="Times New Roman" w:hAnsi="Arial" w:cs="Arial"/>
          <w:sz w:val="24"/>
          <w:szCs w:val="24"/>
          <w:lang w:eastAsia="es-ES"/>
        </w:rPr>
        <w:t xml:space="preserve"> entre el 2007 y el 2010 </w:t>
      </w:r>
    </w:p>
    <w:p w:rsidR="002625DA" w:rsidRPr="003263E9" w:rsidRDefault="002625DA" w:rsidP="003263E9">
      <w:pPr>
        <w:spacing w:before="100" w:beforeAutospacing="1" w:after="100" w:afterAutospacing="1" w:line="240" w:lineRule="auto"/>
        <w:jc w:val="both"/>
        <w:outlineLvl w:val="2"/>
        <w:rPr>
          <w:rFonts w:ascii="Arial" w:eastAsia="Times New Roman" w:hAnsi="Arial" w:cs="Arial"/>
          <w:b/>
          <w:bCs/>
          <w:sz w:val="24"/>
          <w:szCs w:val="24"/>
          <w:lang w:eastAsia="es-ES"/>
        </w:rPr>
      </w:pPr>
      <w:r w:rsidRPr="003263E9">
        <w:rPr>
          <w:rFonts w:ascii="Arial" w:eastAsia="Times New Roman" w:hAnsi="Arial" w:cs="Arial"/>
          <w:b/>
          <w:bCs/>
          <w:sz w:val="24"/>
          <w:szCs w:val="24"/>
          <w:lang w:eastAsia="es-ES"/>
        </w:rPr>
        <w:t>Comentarios finales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Las investigaciones reseñadas en cada uno de los temas seleccionados son ejemplos de que en las ciencias biomédicas, las soluciones emergen de las áreas de contacto entre las diferentes disciplinas y que “avanza no sólo el que tenga más conocimientos, </w:t>
      </w:r>
      <w:r w:rsidR="00417658" w:rsidRPr="003263E9">
        <w:rPr>
          <w:rFonts w:ascii="Arial" w:eastAsia="Times New Roman" w:hAnsi="Arial" w:cs="Arial"/>
          <w:sz w:val="24"/>
          <w:szCs w:val="24"/>
          <w:lang w:eastAsia="es-ES"/>
        </w:rPr>
        <w:t xml:space="preserve">sino el que mejor los combine” </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 consecución de los resultados alcanzados ha sido producto de un proceso largo y arduo, que abarca desde la voluntad política, el desarrollo del capital humano, el fomento de una industria nacional, y la creación de condiciones materiales y financieras para operar, hasta la necesidad de solventar contradicciones entre las posturas epistemológicas y los saberes, o entre los gestores y los investigadores </w:t>
      </w:r>
    </w:p>
    <w:p w:rsidR="002625DA" w:rsidRPr="003263E9" w:rsidRDefault="002625DA" w:rsidP="003263E9">
      <w:pPr>
        <w:spacing w:before="100" w:beforeAutospacing="1" w:after="100" w:afterAutospacing="1" w:line="240" w:lineRule="auto"/>
        <w:jc w:val="both"/>
        <w:outlineLvl w:val="1"/>
        <w:rPr>
          <w:rFonts w:ascii="Arial" w:eastAsia="Times New Roman" w:hAnsi="Arial" w:cs="Arial"/>
          <w:b/>
          <w:bCs/>
          <w:sz w:val="24"/>
          <w:szCs w:val="24"/>
          <w:lang w:eastAsia="es-ES"/>
        </w:rPr>
      </w:pPr>
      <w:bookmarkStart w:id="0" w:name="_GoBack"/>
      <w:bookmarkEnd w:id="0"/>
      <w:r w:rsidRPr="003263E9">
        <w:rPr>
          <w:rFonts w:ascii="Arial" w:eastAsia="Times New Roman" w:hAnsi="Arial" w:cs="Arial"/>
          <w:b/>
          <w:bCs/>
          <w:sz w:val="24"/>
          <w:szCs w:val="24"/>
          <w:lang w:eastAsia="es-ES"/>
        </w:rPr>
        <w:t>CONCLUSIONES</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lastRenderedPageBreak/>
        <w:t>El SCITS cubano se sustenta en una política nacional, promueve la ciencia en todos los niveles de atención y ha solucionado los problemas de salud prioritarios. Enfrenta desafíos comunes a otros países de la Región, como el acceso al financiamiento, la obsolescencia tecnológica y la preservación del capital humano, derivados de las limitaciones económicas impuestas y de los cambios en su contexto socioeconómico.</w:t>
      </w:r>
    </w:p>
    <w:p w:rsidR="002625DA" w:rsidRPr="003263E9" w:rsidRDefault="002625DA" w:rsidP="003263E9">
      <w:pPr>
        <w:spacing w:before="100" w:beforeAutospacing="1" w:after="100" w:afterAutospacing="1" w:line="240" w:lineRule="auto"/>
        <w:jc w:val="both"/>
        <w:rPr>
          <w:rFonts w:ascii="Arial" w:eastAsia="Times New Roman" w:hAnsi="Arial" w:cs="Arial"/>
          <w:sz w:val="24"/>
          <w:szCs w:val="24"/>
          <w:lang w:eastAsia="es-ES"/>
        </w:rPr>
      </w:pPr>
      <w:r w:rsidRPr="003263E9">
        <w:rPr>
          <w:rFonts w:ascii="Arial" w:eastAsia="Times New Roman" w:hAnsi="Arial" w:cs="Arial"/>
          <w:sz w:val="24"/>
          <w:szCs w:val="24"/>
          <w:lang w:eastAsia="es-ES"/>
        </w:rPr>
        <w:t xml:space="preserve">Las investigaciones presentadas ofrecen aportes relevantes que se han introducido en la práctica sanitaria en forma de políticas, programas, productos, tecnologías, y servicios sociales y de salud de calidad. Estos avances han cubierto la población necesitada y han tenido un efecto positivo en su estado de salud. Aun así, estos y otros problemas, por su magnitud y complejidad, continuarán siendo objeto de estudio de las ciencias del campo de la salud </w:t>
      </w:r>
      <w:r w:rsidRPr="003263E9">
        <w:rPr>
          <w:rFonts w:ascii="Arial" w:eastAsia="Times New Roman" w:hAnsi="Arial" w:cs="Arial"/>
          <w:i/>
          <w:iCs/>
          <w:sz w:val="24"/>
          <w:szCs w:val="24"/>
          <w:lang w:eastAsia="es-ES"/>
        </w:rPr>
        <w:t>ad infinitum</w:t>
      </w:r>
      <w:r w:rsidRPr="003263E9">
        <w:rPr>
          <w:rFonts w:ascii="Arial" w:eastAsia="Times New Roman" w:hAnsi="Arial" w:cs="Arial"/>
          <w:sz w:val="24"/>
          <w:szCs w:val="24"/>
          <w:lang w:eastAsia="es-ES"/>
        </w:rPr>
        <w:t>.</w:t>
      </w:r>
    </w:p>
    <w:p w:rsidR="00417658" w:rsidRPr="003263E9" w:rsidRDefault="00417658" w:rsidP="003263E9">
      <w:pPr>
        <w:spacing w:after="0" w:line="240" w:lineRule="auto"/>
        <w:jc w:val="both"/>
        <w:rPr>
          <w:rFonts w:ascii="Arial" w:eastAsia="Times New Roman" w:hAnsi="Arial" w:cs="Arial"/>
          <w:sz w:val="24"/>
          <w:szCs w:val="24"/>
          <w:lang w:val="en-US" w:eastAsia="es-ES"/>
        </w:rPr>
      </w:pPr>
    </w:p>
    <w:p w:rsidR="002625DA" w:rsidRPr="003263E9" w:rsidRDefault="00417658" w:rsidP="003263E9">
      <w:pPr>
        <w:jc w:val="both"/>
        <w:rPr>
          <w:rFonts w:ascii="Arial" w:hAnsi="Arial" w:cs="Arial"/>
          <w:sz w:val="24"/>
          <w:szCs w:val="24"/>
          <w:lang w:val="en-US"/>
        </w:rPr>
      </w:pPr>
      <w:hyperlink r:id="rId76" w:history="1">
        <w:r w:rsidR="002625DA" w:rsidRPr="003263E9">
          <w:rPr>
            <w:rStyle w:val="Hipervnculo"/>
            <w:rFonts w:ascii="Arial" w:hAnsi="Arial" w:cs="Arial"/>
            <w:sz w:val="24"/>
            <w:szCs w:val="24"/>
            <w:lang w:val="en-US"/>
          </w:rPr>
          <w:t>https://www.ncbi.nlm.nih.gov/pmc/articles/PMC6386005/</w:t>
        </w:r>
      </w:hyperlink>
      <w:r w:rsidR="002625DA" w:rsidRPr="003263E9">
        <w:rPr>
          <w:rFonts w:ascii="Arial" w:hAnsi="Arial" w:cs="Arial"/>
          <w:sz w:val="24"/>
          <w:szCs w:val="24"/>
          <w:lang w:val="en-US"/>
        </w:rPr>
        <w:t xml:space="preserve"> </w:t>
      </w:r>
    </w:p>
    <w:sectPr w:rsidR="002625DA" w:rsidRPr="003263E9"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81C7A"/>
    <w:multiLevelType w:val="multilevel"/>
    <w:tmpl w:val="5C06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51C49C2"/>
    <w:multiLevelType w:val="multilevel"/>
    <w:tmpl w:val="A3EC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BF364A8"/>
    <w:multiLevelType w:val="multilevel"/>
    <w:tmpl w:val="BCEC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8D2"/>
    <w:rsid w:val="000068CA"/>
    <w:rsid w:val="00135367"/>
    <w:rsid w:val="0019783E"/>
    <w:rsid w:val="001F2A57"/>
    <w:rsid w:val="002625DA"/>
    <w:rsid w:val="003263E9"/>
    <w:rsid w:val="00417658"/>
    <w:rsid w:val="004B58D2"/>
    <w:rsid w:val="00675DC3"/>
    <w:rsid w:val="0069685A"/>
    <w:rsid w:val="006A73F3"/>
    <w:rsid w:val="0087488A"/>
    <w:rsid w:val="008A3D5E"/>
    <w:rsid w:val="009171CF"/>
    <w:rsid w:val="009527E2"/>
    <w:rsid w:val="00A04FB1"/>
    <w:rsid w:val="00E62425"/>
    <w:rsid w:val="00EB7671"/>
    <w:rsid w:val="00F40045"/>
    <w:rsid w:val="00F753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58EDD7-C7CC-4E08-AE46-A89398B7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2625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2625DA"/>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2625DA"/>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25DA"/>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2625DA"/>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2625DA"/>
    <w:rPr>
      <w:rFonts w:ascii="Times New Roman" w:eastAsia="Times New Roman" w:hAnsi="Times New Roman" w:cs="Times New Roman"/>
      <w:b/>
      <w:bCs/>
      <w:sz w:val="27"/>
      <w:szCs w:val="27"/>
      <w:lang w:eastAsia="es-ES"/>
    </w:rPr>
  </w:style>
  <w:style w:type="numbering" w:customStyle="1" w:styleId="Sinlista1">
    <w:name w:val="Sin lista1"/>
    <w:next w:val="Sinlista"/>
    <w:uiPriority w:val="99"/>
    <w:semiHidden/>
    <w:unhideWhenUsed/>
    <w:rsid w:val="002625DA"/>
  </w:style>
  <w:style w:type="character" w:styleId="Hipervnculo">
    <w:name w:val="Hyperlink"/>
    <w:basedOn w:val="Fuentedeprrafopredeter"/>
    <w:uiPriority w:val="99"/>
    <w:unhideWhenUsed/>
    <w:rsid w:val="002625DA"/>
    <w:rPr>
      <w:color w:val="0000FF"/>
      <w:u w:val="single"/>
    </w:rPr>
  </w:style>
  <w:style w:type="character" w:styleId="Hipervnculovisitado">
    <w:name w:val="FollowedHyperlink"/>
    <w:basedOn w:val="Fuentedeprrafopredeter"/>
    <w:uiPriority w:val="99"/>
    <w:semiHidden/>
    <w:unhideWhenUsed/>
    <w:rsid w:val="002625DA"/>
    <w:rPr>
      <w:color w:val="800080"/>
      <w:u w:val="single"/>
    </w:rPr>
  </w:style>
  <w:style w:type="paragraph" w:customStyle="1" w:styleId="p">
    <w:name w:val="p"/>
    <w:basedOn w:val="Normal"/>
    <w:rsid w:val="002625D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2625DA"/>
    <w:rPr>
      <w:b/>
      <w:bCs/>
    </w:rPr>
  </w:style>
  <w:style w:type="character" w:customStyle="1" w:styleId="kwd-text">
    <w:name w:val="kwd-text"/>
    <w:basedOn w:val="Fuentedeprrafopredeter"/>
    <w:rsid w:val="002625DA"/>
  </w:style>
  <w:style w:type="paragraph" w:styleId="NormalWeb">
    <w:name w:val="Normal (Web)"/>
    <w:basedOn w:val="Normal"/>
    <w:uiPriority w:val="99"/>
    <w:semiHidden/>
    <w:unhideWhenUsed/>
    <w:rsid w:val="002625D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2625DA"/>
    <w:rPr>
      <w:i/>
      <w:iCs/>
    </w:rPr>
  </w:style>
  <w:style w:type="paragraph" w:customStyle="1" w:styleId="fn">
    <w:name w:val="fn"/>
    <w:basedOn w:val="Normal"/>
    <w:rsid w:val="002625D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lement-citation">
    <w:name w:val="element-citation"/>
    <w:basedOn w:val="Fuentedeprrafopredeter"/>
    <w:rsid w:val="002625DA"/>
  </w:style>
  <w:style w:type="character" w:customStyle="1" w:styleId="ref-journal">
    <w:name w:val="ref-journal"/>
    <w:basedOn w:val="Fuentedeprrafopredeter"/>
    <w:rsid w:val="002625DA"/>
  </w:style>
  <w:style w:type="character" w:customStyle="1" w:styleId="nowrap">
    <w:name w:val="nowrap"/>
    <w:basedOn w:val="Fuentedeprrafopredeter"/>
    <w:rsid w:val="002625DA"/>
  </w:style>
  <w:style w:type="character" w:customStyle="1" w:styleId="ref-vol">
    <w:name w:val="ref-vol"/>
    <w:basedOn w:val="Fuentedeprrafopredeter"/>
    <w:rsid w:val="00262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831646">
      <w:bodyDiv w:val="1"/>
      <w:marLeft w:val="0"/>
      <w:marRight w:val="0"/>
      <w:marTop w:val="0"/>
      <w:marBottom w:val="0"/>
      <w:divBdr>
        <w:top w:val="none" w:sz="0" w:space="0" w:color="auto"/>
        <w:left w:val="none" w:sz="0" w:space="0" w:color="auto"/>
        <w:bottom w:val="none" w:sz="0" w:space="0" w:color="auto"/>
        <w:right w:val="none" w:sz="0" w:space="0" w:color="auto"/>
      </w:divBdr>
      <w:divsChild>
        <w:div w:id="1571648385">
          <w:marLeft w:val="0"/>
          <w:marRight w:val="0"/>
          <w:marTop w:val="0"/>
          <w:marBottom w:val="0"/>
          <w:divBdr>
            <w:top w:val="none" w:sz="0" w:space="0" w:color="auto"/>
            <w:left w:val="none" w:sz="0" w:space="0" w:color="auto"/>
            <w:bottom w:val="none" w:sz="0" w:space="0" w:color="auto"/>
            <w:right w:val="none" w:sz="0" w:space="0" w:color="auto"/>
          </w:divBdr>
          <w:divsChild>
            <w:div w:id="1832719995">
              <w:marLeft w:val="0"/>
              <w:marRight w:val="0"/>
              <w:marTop w:val="0"/>
              <w:marBottom w:val="0"/>
              <w:divBdr>
                <w:top w:val="none" w:sz="0" w:space="0" w:color="auto"/>
                <w:left w:val="none" w:sz="0" w:space="0" w:color="auto"/>
                <w:bottom w:val="none" w:sz="0" w:space="0" w:color="auto"/>
                <w:right w:val="none" w:sz="0" w:space="0" w:color="auto"/>
              </w:divBdr>
              <w:divsChild>
                <w:div w:id="1010646784">
                  <w:marLeft w:val="0"/>
                  <w:marRight w:val="0"/>
                  <w:marTop w:val="0"/>
                  <w:marBottom w:val="0"/>
                  <w:divBdr>
                    <w:top w:val="none" w:sz="0" w:space="0" w:color="auto"/>
                    <w:left w:val="none" w:sz="0" w:space="0" w:color="auto"/>
                    <w:bottom w:val="none" w:sz="0" w:space="0" w:color="auto"/>
                    <w:right w:val="none" w:sz="0" w:space="0" w:color="auto"/>
                  </w:divBdr>
                </w:div>
              </w:divsChild>
            </w:div>
            <w:div w:id="1671449926">
              <w:marLeft w:val="0"/>
              <w:marRight w:val="0"/>
              <w:marTop w:val="0"/>
              <w:marBottom w:val="0"/>
              <w:divBdr>
                <w:top w:val="none" w:sz="0" w:space="0" w:color="auto"/>
                <w:left w:val="none" w:sz="0" w:space="0" w:color="auto"/>
                <w:bottom w:val="none" w:sz="0" w:space="0" w:color="auto"/>
                <w:right w:val="none" w:sz="0" w:space="0" w:color="auto"/>
              </w:divBdr>
              <w:divsChild>
                <w:div w:id="2032757683">
                  <w:marLeft w:val="0"/>
                  <w:marRight w:val="0"/>
                  <w:marTop w:val="0"/>
                  <w:marBottom w:val="0"/>
                  <w:divBdr>
                    <w:top w:val="none" w:sz="0" w:space="0" w:color="auto"/>
                    <w:left w:val="none" w:sz="0" w:space="0" w:color="auto"/>
                    <w:bottom w:val="none" w:sz="0" w:space="0" w:color="auto"/>
                    <w:right w:val="none" w:sz="0" w:space="0" w:color="auto"/>
                  </w:divBdr>
                </w:div>
              </w:divsChild>
            </w:div>
            <w:div w:id="1057053755">
              <w:marLeft w:val="0"/>
              <w:marRight w:val="0"/>
              <w:marTop w:val="0"/>
              <w:marBottom w:val="0"/>
              <w:divBdr>
                <w:top w:val="none" w:sz="0" w:space="0" w:color="auto"/>
                <w:left w:val="none" w:sz="0" w:space="0" w:color="auto"/>
                <w:bottom w:val="none" w:sz="0" w:space="0" w:color="auto"/>
                <w:right w:val="none" w:sz="0" w:space="0" w:color="auto"/>
              </w:divBdr>
              <w:divsChild>
                <w:div w:id="1331327025">
                  <w:marLeft w:val="0"/>
                  <w:marRight w:val="0"/>
                  <w:marTop w:val="0"/>
                  <w:marBottom w:val="0"/>
                  <w:divBdr>
                    <w:top w:val="none" w:sz="0" w:space="0" w:color="auto"/>
                    <w:left w:val="none" w:sz="0" w:space="0" w:color="auto"/>
                    <w:bottom w:val="none" w:sz="0" w:space="0" w:color="auto"/>
                    <w:right w:val="none" w:sz="0" w:space="0" w:color="auto"/>
                  </w:divBdr>
                  <w:divsChild>
                    <w:div w:id="1255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9942">
          <w:marLeft w:val="0"/>
          <w:marRight w:val="0"/>
          <w:marTop w:val="0"/>
          <w:marBottom w:val="0"/>
          <w:divBdr>
            <w:top w:val="none" w:sz="0" w:space="0" w:color="auto"/>
            <w:left w:val="none" w:sz="0" w:space="0" w:color="auto"/>
            <w:bottom w:val="none" w:sz="0" w:space="0" w:color="auto"/>
            <w:right w:val="none" w:sz="0" w:space="0" w:color="auto"/>
          </w:divBdr>
          <w:divsChild>
            <w:div w:id="896818755">
              <w:marLeft w:val="0"/>
              <w:marRight w:val="0"/>
              <w:marTop w:val="0"/>
              <w:marBottom w:val="0"/>
              <w:divBdr>
                <w:top w:val="none" w:sz="0" w:space="0" w:color="auto"/>
                <w:left w:val="none" w:sz="0" w:space="0" w:color="auto"/>
                <w:bottom w:val="none" w:sz="0" w:space="0" w:color="auto"/>
                <w:right w:val="none" w:sz="0" w:space="0" w:color="auto"/>
              </w:divBdr>
            </w:div>
            <w:div w:id="1308054582">
              <w:marLeft w:val="0"/>
              <w:marRight w:val="0"/>
              <w:marTop w:val="0"/>
              <w:marBottom w:val="0"/>
              <w:divBdr>
                <w:top w:val="none" w:sz="0" w:space="0" w:color="auto"/>
                <w:left w:val="none" w:sz="0" w:space="0" w:color="auto"/>
                <w:bottom w:val="none" w:sz="0" w:space="0" w:color="auto"/>
                <w:right w:val="none" w:sz="0" w:space="0" w:color="auto"/>
              </w:divBdr>
            </w:div>
            <w:div w:id="1295671292">
              <w:marLeft w:val="0"/>
              <w:marRight w:val="0"/>
              <w:marTop w:val="0"/>
              <w:marBottom w:val="0"/>
              <w:divBdr>
                <w:top w:val="none" w:sz="0" w:space="0" w:color="auto"/>
                <w:left w:val="none" w:sz="0" w:space="0" w:color="auto"/>
                <w:bottom w:val="none" w:sz="0" w:space="0" w:color="auto"/>
                <w:right w:val="none" w:sz="0" w:space="0" w:color="auto"/>
              </w:divBdr>
            </w:div>
          </w:divsChild>
        </w:div>
        <w:div w:id="1779107080">
          <w:marLeft w:val="0"/>
          <w:marRight w:val="0"/>
          <w:marTop w:val="0"/>
          <w:marBottom w:val="0"/>
          <w:divBdr>
            <w:top w:val="none" w:sz="0" w:space="0" w:color="auto"/>
            <w:left w:val="none" w:sz="0" w:space="0" w:color="auto"/>
            <w:bottom w:val="none" w:sz="0" w:space="0" w:color="auto"/>
            <w:right w:val="none" w:sz="0" w:space="0" w:color="auto"/>
          </w:divBdr>
        </w:div>
        <w:div w:id="1839811087">
          <w:marLeft w:val="0"/>
          <w:marRight w:val="0"/>
          <w:marTop w:val="0"/>
          <w:marBottom w:val="0"/>
          <w:divBdr>
            <w:top w:val="none" w:sz="0" w:space="0" w:color="auto"/>
            <w:left w:val="none" w:sz="0" w:space="0" w:color="auto"/>
            <w:bottom w:val="none" w:sz="0" w:space="0" w:color="auto"/>
            <w:right w:val="none" w:sz="0" w:space="0" w:color="auto"/>
          </w:divBdr>
          <w:divsChild>
            <w:div w:id="333725445">
              <w:marLeft w:val="0"/>
              <w:marRight w:val="0"/>
              <w:marTop w:val="0"/>
              <w:marBottom w:val="0"/>
              <w:divBdr>
                <w:top w:val="none" w:sz="0" w:space="0" w:color="auto"/>
                <w:left w:val="none" w:sz="0" w:space="0" w:color="auto"/>
                <w:bottom w:val="none" w:sz="0" w:space="0" w:color="auto"/>
                <w:right w:val="none" w:sz="0" w:space="0" w:color="auto"/>
              </w:divBdr>
            </w:div>
            <w:div w:id="524438839">
              <w:marLeft w:val="0"/>
              <w:marRight w:val="0"/>
              <w:marTop w:val="0"/>
              <w:marBottom w:val="0"/>
              <w:divBdr>
                <w:top w:val="none" w:sz="0" w:space="0" w:color="auto"/>
                <w:left w:val="none" w:sz="0" w:space="0" w:color="auto"/>
                <w:bottom w:val="none" w:sz="0" w:space="0" w:color="auto"/>
                <w:right w:val="none" w:sz="0" w:space="0" w:color="auto"/>
              </w:divBdr>
              <w:divsChild>
                <w:div w:id="742870603">
                  <w:marLeft w:val="0"/>
                  <w:marRight w:val="0"/>
                  <w:marTop w:val="0"/>
                  <w:marBottom w:val="0"/>
                  <w:divBdr>
                    <w:top w:val="none" w:sz="0" w:space="0" w:color="auto"/>
                    <w:left w:val="none" w:sz="0" w:space="0" w:color="auto"/>
                    <w:bottom w:val="none" w:sz="0" w:space="0" w:color="auto"/>
                    <w:right w:val="none" w:sz="0" w:space="0" w:color="auto"/>
                  </w:divBdr>
                </w:div>
                <w:div w:id="713121645">
                  <w:marLeft w:val="0"/>
                  <w:marRight w:val="0"/>
                  <w:marTop w:val="0"/>
                  <w:marBottom w:val="0"/>
                  <w:divBdr>
                    <w:top w:val="none" w:sz="0" w:space="0" w:color="auto"/>
                    <w:left w:val="none" w:sz="0" w:space="0" w:color="auto"/>
                    <w:bottom w:val="none" w:sz="0" w:space="0" w:color="auto"/>
                    <w:right w:val="none" w:sz="0" w:space="0" w:color="auto"/>
                  </w:divBdr>
                </w:div>
                <w:div w:id="26372355">
                  <w:marLeft w:val="0"/>
                  <w:marRight w:val="0"/>
                  <w:marTop w:val="0"/>
                  <w:marBottom w:val="0"/>
                  <w:divBdr>
                    <w:top w:val="none" w:sz="0" w:space="0" w:color="auto"/>
                    <w:left w:val="none" w:sz="0" w:space="0" w:color="auto"/>
                    <w:bottom w:val="none" w:sz="0" w:space="0" w:color="auto"/>
                    <w:right w:val="none" w:sz="0" w:space="0" w:color="auto"/>
                  </w:divBdr>
                </w:div>
                <w:div w:id="1206213629">
                  <w:marLeft w:val="0"/>
                  <w:marRight w:val="0"/>
                  <w:marTop w:val="0"/>
                  <w:marBottom w:val="0"/>
                  <w:divBdr>
                    <w:top w:val="none" w:sz="0" w:space="0" w:color="auto"/>
                    <w:left w:val="none" w:sz="0" w:space="0" w:color="auto"/>
                    <w:bottom w:val="none" w:sz="0" w:space="0" w:color="auto"/>
                    <w:right w:val="none" w:sz="0" w:space="0" w:color="auto"/>
                  </w:divBdr>
                  <w:divsChild>
                    <w:div w:id="905726195">
                      <w:marLeft w:val="0"/>
                      <w:marRight w:val="0"/>
                      <w:marTop w:val="0"/>
                      <w:marBottom w:val="0"/>
                      <w:divBdr>
                        <w:top w:val="none" w:sz="0" w:space="0" w:color="auto"/>
                        <w:left w:val="none" w:sz="0" w:space="0" w:color="auto"/>
                        <w:bottom w:val="none" w:sz="0" w:space="0" w:color="auto"/>
                        <w:right w:val="none" w:sz="0" w:space="0" w:color="auto"/>
                      </w:divBdr>
                    </w:div>
                    <w:div w:id="533664167">
                      <w:marLeft w:val="0"/>
                      <w:marRight w:val="0"/>
                      <w:marTop w:val="0"/>
                      <w:marBottom w:val="0"/>
                      <w:divBdr>
                        <w:top w:val="none" w:sz="0" w:space="0" w:color="auto"/>
                        <w:left w:val="none" w:sz="0" w:space="0" w:color="auto"/>
                        <w:bottom w:val="none" w:sz="0" w:space="0" w:color="auto"/>
                        <w:right w:val="none" w:sz="0" w:space="0" w:color="auto"/>
                      </w:divBdr>
                    </w:div>
                    <w:div w:id="112435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89155">
              <w:marLeft w:val="0"/>
              <w:marRight w:val="0"/>
              <w:marTop w:val="0"/>
              <w:marBottom w:val="0"/>
              <w:divBdr>
                <w:top w:val="none" w:sz="0" w:space="0" w:color="auto"/>
                <w:left w:val="none" w:sz="0" w:space="0" w:color="auto"/>
                <w:bottom w:val="none" w:sz="0" w:space="0" w:color="auto"/>
                <w:right w:val="none" w:sz="0" w:space="0" w:color="auto"/>
              </w:divBdr>
              <w:divsChild>
                <w:div w:id="1557085258">
                  <w:marLeft w:val="0"/>
                  <w:marRight w:val="0"/>
                  <w:marTop w:val="0"/>
                  <w:marBottom w:val="0"/>
                  <w:divBdr>
                    <w:top w:val="none" w:sz="0" w:space="0" w:color="auto"/>
                    <w:left w:val="none" w:sz="0" w:space="0" w:color="auto"/>
                    <w:bottom w:val="none" w:sz="0" w:space="0" w:color="auto"/>
                    <w:right w:val="none" w:sz="0" w:space="0" w:color="auto"/>
                  </w:divBdr>
                </w:div>
                <w:div w:id="1763716285">
                  <w:marLeft w:val="0"/>
                  <w:marRight w:val="0"/>
                  <w:marTop w:val="0"/>
                  <w:marBottom w:val="0"/>
                  <w:divBdr>
                    <w:top w:val="none" w:sz="0" w:space="0" w:color="auto"/>
                    <w:left w:val="none" w:sz="0" w:space="0" w:color="auto"/>
                    <w:bottom w:val="none" w:sz="0" w:space="0" w:color="auto"/>
                    <w:right w:val="none" w:sz="0" w:space="0" w:color="auto"/>
                  </w:divBdr>
                </w:div>
                <w:div w:id="1975864477">
                  <w:marLeft w:val="0"/>
                  <w:marRight w:val="0"/>
                  <w:marTop w:val="0"/>
                  <w:marBottom w:val="0"/>
                  <w:divBdr>
                    <w:top w:val="none" w:sz="0" w:space="0" w:color="auto"/>
                    <w:left w:val="none" w:sz="0" w:space="0" w:color="auto"/>
                    <w:bottom w:val="none" w:sz="0" w:space="0" w:color="auto"/>
                    <w:right w:val="none" w:sz="0" w:space="0" w:color="auto"/>
                  </w:divBdr>
                </w:div>
                <w:div w:id="2098162562">
                  <w:marLeft w:val="0"/>
                  <w:marRight w:val="0"/>
                  <w:marTop w:val="0"/>
                  <w:marBottom w:val="0"/>
                  <w:divBdr>
                    <w:top w:val="none" w:sz="0" w:space="0" w:color="auto"/>
                    <w:left w:val="none" w:sz="0" w:space="0" w:color="auto"/>
                    <w:bottom w:val="none" w:sz="0" w:space="0" w:color="auto"/>
                    <w:right w:val="none" w:sz="0" w:space="0" w:color="auto"/>
                  </w:divBdr>
                  <w:divsChild>
                    <w:div w:id="138321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5380">
              <w:marLeft w:val="0"/>
              <w:marRight w:val="0"/>
              <w:marTop w:val="0"/>
              <w:marBottom w:val="0"/>
              <w:divBdr>
                <w:top w:val="none" w:sz="0" w:space="0" w:color="auto"/>
                <w:left w:val="none" w:sz="0" w:space="0" w:color="auto"/>
                <w:bottom w:val="none" w:sz="0" w:space="0" w:color="auto"/>
                <w:right w:val="none" w:sz="0" w:space="0" w:color="auto"/>
              </w:divBdr>
              <w:divsChild>
                <w:div w:id="1379890329">
                  <w:marLeft w:val="0"/>
                  <w:marRight w:val="0"/>
                  <w:marTop w:val="0"/>
                  <w:marBottom w:val="0"/>
                  <w:divBdr>
                    <w:top w:val="none" w:sz="0" w:space="0" w:color="auto"/>
                    <w:left w:val="none" w:sz="0" w:space="0" w:color="auto"/>
                    <w:bottom w:val="none" w:sz="0" w:space="0" w:color="auto"/>
                    <w:right w:val="none" w:sz="0" w:space="0" w:color="auto"/>
                  </w:divBdr>
                </w:div>
                <w:div w:id="270167284">
                  <w:marLeft w:val="0"/>
                  <w:marRight w:val="0"/>
                  <w:marTop w:val="0"/>
                  <w:marBottom w:val="0"/>
                  <w:divBdr>
                    <w:top w:val="none" w:sz="0" w:space="0" w:color="auto"/>
                    <w:left w:val="none" w:sz="0" w:space="0" w:color="auto"/>
                    <w:bottom w:val="none" w:sz="0" w:space="0" w:color="auto"/>
                    <w:right w:val="none" w:sz="0" w:space="0" w:color="auto"/>
                  </w:divBdr>
                  <w:divsChild>
                    <w:div w:id="733431262">
                      <w:marLeft w:val="0"/>
                      <w:marRight w:val="0"/>
                      <w:marTop w:val="0"/>
                      <w:marBottom w:val="0"/>
                      <w:divBdr>
                        <w:top w:val="none" w:sz="0" w:space="0" w:color="auto"/>
                        <w:left w:val="none" w:sz="0" w:space="0" w:color="auto"/>
                        <w:bottom w:val="none" w:sz="0" w:space="0" w:color="auto"/>
                        <w:right w:val="none" w:sz="0" w:space="0" w:color="auto"/>
                      </w:divBdr>
                    </w:div>
                    <w:div w:id="1850489136">
                      <w:marLeft w:val="0"/>
                      <w:marRight w:val="0"/>
                      <w:marTop w:val="0"/>
                      <w:marBottom w:val="0"/>
                      <w:divBdr>
                        <w:top w:val="none" w:sz="0" w:space="0" w:color="auto"/>
                        <w:left w:val="none" w:sz="0" w:space="0" w:color="auto"/>
                        <w:bottom w:val="none" w:sz="0" w:space="0" w:color="auto"/>
                        <w:right w:val="none" w:sz="0" w:space="0" w:color="auto"/>
                      </w:divBdr>
                    </w:div>
                    <w:div w:id="19419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9841">
              <w:marLeft w:val="0"/>
              <w:marRight w:val="0"/>
              <w:marTop w:val="0"/>
              <w:marBottom w:val="0"/>
              <w:divBdr>
                <w:top w:val="none" w:sz="0" w:space="0" w:color="auto"/>
                <w:left w:val="none" w:sz="0" w:space="0" w:color="auto"/>
                <w:bottom w:val="none" w:sz="0" w:space="0" w:color="auto"/>
                <w:right w:val="none" w:sz="0" w:space="0" w:color="auto"/>
              </w:divBdr>
              <w:divsChild>
                <w:div w:id="1674186777">
                  <w:marLeft w:val="0"/>
                  <w:marRight w:val="0"/>
                  <w:marTop w:val="0"/>
                  <w:marBottom w:val="0"/>
                  <w:divBdr>
                    <w:top w:val="none" w:sz="0" w:space="0" w:color="auto"/>
                    <w:left w:val="none" w:sz="0" w:space="0" w:color="auto"/>
                    <w:bottom w:val="none" w:sz="0" w:space="0" w:color="auto"/>
                    <w:right w:val="none" w:sz="0" w:space="0" w:color="auto"/>
                  </w:divBdr>
                </w:div>
                <w:div w:id="1650669132">
                  <w:marLeft w:val="0"/>
                  <w:marRight w:val="0"/>
                  <w:marTop w:val="0"/>
                  <w:marBottom w:val="0"/>
                  <w:divBdr>
                    <w:top w:val="none" w:sz="0" w:space="0" w:color="auto"/>
                    <w:left w:val="none" w:sz="0" w:space="0" w:color="auto"/>
                    <w:bottom w:val="none" w:sz="0" w:space="0" w:color="auto"/>
                    <w:right w:val="none" w:sz="0" w:space="0" w:color="auto"/>
                  </w:divBdr>
                </w:div>
                <w:div w:id="1585408119">
                  <w:marLeft w:val="0"/>
                  <w:marRight w:val="0"/>
                  <w:marTop w:val="0"/>
                  <w:marBottom w:val="0"/>
                  <w:divBdr>
                    <w:top w:val="none" w:sz="0" w:space="0" w:color="auto"/>
                    <w:left w:val="none" w:sz="0" w:space="0" w:color="auto"/>
                    <w:bottom w:val="none" w:sz="0" w:space="0" w:color="auto"/>
                    <w:right w:val="none" w:sz="0" w:space="0" w:color="auto"/>
                  </w:divBdr>
                  <w:divsChild>
                    <w:div w:id="32933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41747">
              <w:marLeft w:val="0"/>
              <w:marRight w:val="0"/>
              <w:marTop w:val="0"/>
              <w:marBottom w:val="0"/>
              <w:divBdr>
                <w:top w:val="none" w:sz="0" w:space="0" w:color="auto"/>
                <w:left w:val="none" w:sz="0" w:space="0" w:color="auto"/>
                <w:bottom w:val="none" w:sz="0" w:space="0" w:color="auto"/>
                <w:right w:val="none" w:sz="0" w:space="0" w:color="auto"/>
              </w:divBdr>
            </w:div>
          </w:divsChild>
        </w:div>
        <w:div w:id="911239335">
          <w:marLeft w:val="0"/>
          <w:marRight w:val="0"/>
          <w:marTop w:val="0"/>
          <w:marBottom w:val="0"/>
          <w:divBdr>
            <w:top w:val="none" w:sz="0" w:space="0" w:color="auto"/>
            <w:left w:val="none" w:sz="0" w:space="0" w:color="auto"/>
            <w:bottom w:val="none" w:sz="0" w:space="0" w:color="auto"/>
            <w:right w:val="none" w:sz="0" w:space="0" w:color="auto"/>
          </w:divBdr>
          <w:divsChild>
            <w:div w:id="830560291">
              <w:marLeft w:val="0"/>
              <w:marRight w:val="0"/>
              <w:marTop w:val="0"/>
              <w:marBottom w:val="0"/>
              <w:divBdr>
                <w:top w:val="none" w:sz="0" w:space="0" w:color="auto"/>
                <w:left w:val="none" w:sz="0" w:space="0" w:color="auto"/>
                <w:bottom w:val="none" w:sz="0" w:space="0" w:color="auto"/>
                <w:right w:val="none" w:sz="0" w:space="0" w:color="auto"/>
              </w:divBdr>
            </w:div>
            <w:div w:id="399790871">
              <w:marLeft w:val="0"/>
              <w:marRight w:val="0"/>
              <w:marTop w:val="0"/>
              <w:marBottom w:val="0"/>
              <w:divBdr>
                <w:top w:val="none" w:sz="0" w:space="0" w:color="auto"/>
                <w:left w:val="none" w:sz="0" w:space="0" w:color="auto"/>
                <w:bottom w:val="none" w:sz="0" w:space="0" w:color="auto"/>
                <w:right w:val="none" w:sz="0" w:space="0" w:color="auto"/>
              </w:divBdr>
              <w:divsChild>
                <w:div w:id="1735275506">
                  <w:marLeft w:val="0"/>
                  <w:marRight w:val="0"/>
                  <w:marTop w:val="0"/>
                  <w:marBottom w:val="0"/>
                  <w:divBdr>
                    <w:top w:val="none" w:sz="0" w:space="0" w:color="auto"/>
                    <w:left w:val="none" w:sz="0" w:space="0" w:color="auto"/>
                    <w:bottom w:val="none" w:sz="0" w:space="0" w:color="auto"/>
                    <w:right w:val="none" w:sz="0" w:space="0" w:color="auto"/>
                  </w:divBdr>
                </w:div>
                <w:div w:id="702175728">
                  <w:marLeft w:val="0"/>
                  <w:marRight w:val="0"/>
                  <w:marTop w:val="0"/>
                  <w:marBottom w:val="0"/>
                  <w:divBdr>
                    <w:top w:val="none" w:sz="0" w:space="0" w:color="auto"/>
                    <w:left w:val="none" w:sz="0" w:space="0" w:color="auto"/>
                    <w:bottom w:val="none" w:sz="0" w:space="0" w:color="auto"/>
                    <w:right w:val="none" w:sz="0" w:space="0" w:color="auto"/>
                  </w:divBdr>
                </w:div>
                <w:div w:id="1664888908">
                  <w:marLeft w:val="0"/>
                  <w:marRight w:val="0"/>
                  <w:marTop w:val="0"/>
                  <w:marBottom w:val="0"/>
                  <w:divBdr>
                    <w:top w:val="none" w:sz="0" w:space="0" w:color="auto"/>
                    <w:left w:val="none" w:sz="0" w:space="0" w:color="auto"/>
                    <w:bottom w:val="none" w:sz="0" w:space="0" w:color="auto"/>
                    <w:right w:val="none" w:sz="0" w:space="0" w:color="auto"/>
                  </w:divBdr>
                </w:div>
                <w:div w:id="1167790786">
                  <w:marLeft w:val="0"/>
                  <w:marRight w:val="0"/>
                  <w:marTop w:val="0"/>
                  <w:marBottom w:val="0"/>
                  <w:divBdr>
                    <w:top w:val="none" w:sz="0" w:space="0" w:color="auto"/>
                    <w:left w:val="none" w:sz="0" w:space="0" w:color="auto"/>
                    <w:bottom w:val="none" w:sz="0" w:space="0" w:color="auto"/>
                    <w:right w:val="none" w:sz="0" w:space="0" w:color="auto"/>
                  </w:divBdr>
                  <w:divsChild>
                    <w:div w:id="2048337802">
                      <w:marLeft w:val="0"/>
                      <w:marRight w:val="0"/>
                      <w:marTop w:val="0"/>
                      <w:marBottom w:val="0"/>
                      <w:divBdr>
                        <w:top w:val="none" w:sz="0" w:space="0" w:color="auto"/>
                        <w:left w:val="none" w:sz="0" w:space="0" w:color="auto"/>
                        <w:bottom w:val="none" w:sz="0" w:space="0" w:color="auto"/>
                        <w:right w:val="none" w:sz="0" w:space="0" w:color="auto"/>
                      </w:divBdr>
                    </w:div>
                    <w:div w:id="1856067639">
                      <w:marLeft w:val="0"/>
                      <w:marRight w:val="0"/>
                      <w:marTop w:val="0"/>
                      <w:marBottom w:val="0"/>
                      <w:divBdr>
                        <w:top w:val="none" w:sz="0" w:space="0" w:color="auto"/>
                        <w:left w:val="none" w:sz="0" w:space="0" w:color="auto"/>
                        <w:bottom w:val="none" w:sz="0" w:space="0" w:color="auto"/>
                        <w:right w:val="none" w:sz="0" w:space="0" w:color="auto"/>
                      </w:divBdr>
                    </w:div>
                    <w:div w:id="11909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5257">
              <w:marLeft w:val="0"/>
              <w:marRight w:val="0"/>
              <w:marTop w:val="0"/>
              <w:marBottom w:val="0"/>
              <w:divBdr>
                <w:top w:val="none" w:sz="0" w:space="0" w:color="auto"/>
                <w:left w:val="none" w:sz="0" w:space="0" w:color="auto"/>
                <w:bottom w:val="none" w:sz="0" w:space="0" w:color="auto"/>
                <w:right w:val="none" w:sz="0" w:space="0" w:color="auto"/>
              </w:divBdr>
            </w:div>
            <w:div w:id="395860380">
              <w:marLeft w:val="0"/>
              <w:marRight w:val="0"/>
              <w:marTop w:val="0"/>
              <w:marBottom w:val="0"/>
              <w:divBdr>
                <w:top w:val="none" w:sz="0" w:space="0" w:color="auto"/>
                <w:left w:val="none" w:sz="0" w:space="0" w:color="auto"/>
                <w:bottom w:val="none" w:sz="0" w:space="0" w:color="auto"/>
                <w:right w:val="none" w:sz="0" w:space="0" w:color="auto"/>
              </w:divBdr>
            </w:div>
            <w:div w:id="1327707778">
              <w:marLeft w:val="0"/>
              <w:marRight w:val="0"/>
              <w:marTop w:val="0"/>
              <w:marBottom w:val="0"/>
              <w:divBdr>
                <w:top w:val="none" w:sz="0" w:space="0" w:color="auto"/>
                <w:left w:val="none" w:sz="0" w:space="0" w:color="auto"/>
                <w:bottom w:val="none" w:sz="0" w:space="0" w:color="auto"/>
                <w:right w:val="none" w:sz="0" w:space="0" w:color="auto"/>
              </w:divBdr>
            </w:div>
            <w:div w:id="1706708177">
              <w:marLeft w:val="0"/>
              <w:marRight w:val="0"/>
              <w:marTop w:val="0"/>
              <w:marBottom w:val="0"/>
              <w:divBdr>
                <w:top w:val="none" w:sz="0" w:space="0" w:color="auto"/>
                <w:left w:val="none" w:sz="0" w:space="0" w:color="auto"/>
                <w:bottom w:val="none" w:sz="0" w:space="0" w:color="auto"/>
                <w:right w:val="none" w:sz="0" w:space="0" w:color="auto"/>
              </w:divBdr>
            </w:div>
            <w:div w:id="241913322">
              <w:marLeft w:val="0"/>
              <w:marRight w:val="0"/>
              <w:marTop w:val="0"/>
              <w:marBottom w:val="0"/>
              <w:divBdr>
                <w:top w:val="none" w:sz="0" w:space="0" w:color="auto"/>
                <w:left w:val="none" w:sz="0" w:space="0" w:color="auto"/>
                <w:bottom w:val="none" w:sz="0" w:space="0" w:color="auto"/>
                <w:right w:val="none" w:sz="0" w:space="0" w:color="auto"/>
              </w:divBdr>
              <w:divsChild>
                <w:div w:id="759184749">
                  <w:marLeft w:val="0"/>
                  <w:marRight w:val="0"/>
                  <w:marTop w:val="0"/>
                  <w:marBottom w:val="0"/>
                  <w:divBdr>
                    <w:top w:val="none" w:sz="0" w:space="0" w:color="auto"/>
                    <w:left w:val="none" w:sz="0" w:space="0" w:color="auto"/>
                    <w:bottom w:val="none" w:sz="0" w:space="0" w:color="auto"/>
                    <w:right w:val="none" w:sz="0" w:space="0" w:color="auto"/>
                  </w:divBdr>
                  <w:divsChild>
                    <w:div w:id="224606617">
                      <w:marLeft w:val="0"/>
                      <w:marRight w:val="0"/>
                      <w:marTop w:val="0"/>
                      <w:marBottom w:val="0"/>
                      <w:divBdr>
                        <w:top w:val="none" w:sz="0" w:space="0" w:color="auto"/>
                        <w:left w:val="none" w:sz="0" w:space="0" w:color="auto"/>
                        <w:bottom w:val="none" w:sz="0" w:space="0" w:color="auto"/>
                        <w:right w:val="none" w:sz="0" w:space="0" w:color="auto"/>
                      </w:divBdr>
                    </w:div>
                    <w:div w:id="7542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233708">
          <w:marLeft w:val="0"/>
          <w:marRight w:val="0"/>
          <w:marTop w:val="0"/>
          <w:marBottom w:val="0"/>
          <w:divBdr>
            <w:top w:val="none" w:sz="0" w:space="0" w:color="auto"/>
            <w:left w:val="none" w:sz="0" w:space="0" w:color="auto"/>
            <w:bottom w:val="none" w:sz="0" w:space="0" w:color="auto"/>
            <w:right w:val="none" w:sz="0" w:space="0" w:color="auto"/>
          </w:divBdr>
          <w:divsChild>
            <w:div w:id="1688553279">
              <w:marLeft w:val="0"/>
              <w:marRight w:val="0"/>
              <w:marTop w:val="0"/>
              <w:marBottom w:val="0"/>
              <w:divBdr>
                <w:top w:val="none" w:sz="0" w:space="0" w:color="auto"/>
                <w:left w:val="none" w:sz="0" w:space="0" w:color="auto"/>
                <w:bottom w:val="none" w:sz="0" w:space="0" w:color="auto"/>
                <w:right w:val="none" w:sz="0" w:space="0" w:color="auto"/>
              </w:divBdr>
            </w:div>
          </w:divsChild>
        </w:div>
        <w:div w:id="982393792">
          <w:marLeft w:val="0"/>
          <w:marRight w:val="0"/>
          <w:marTop w:val="0"/>
          <w:marBottom w:val="0"/>
          <w:divBdr>
            <w:top w:val="none" w:sz="0" w:space="0" w:color="auto"/>
            <w:left w:val="none" w:sz="0" w:space="0" w:color="auto"/>
            <w:bottom w:val="none" w:sz="0" w:space="0" w:color="auto"/>
            <w:right w:val="none" w:sz="0" w:space="0" w:color="auto"/>
          </w:divBdr>
          <w:divsChild>
            <w:div w:id="1576479129">
              <w:marLeft w:val="0"/>
              <w:marRight w:val="0"/>
              <w:marTop w:val="0"/>
              <w:marBottom w:val="0"/>
              <w:divBdr>
                <w:top w:val="none" w:sz="0" w:space="0" w:color="auto"/>
                <w:left w:val="none" w:sz="0" w:space="0" w:color="auto"/>
                <w:bottom w:val="none" w:sz="0" w:space="0" w:color="auto"/>
                <w:right w:val="none" w:sz="0" w:space="0" w:color="auto"/>
              </w:divBdr>
            </w:div>
            <w:div w:id="1941447100">
              <w:marLeft w:val="0"/>
              <w:marRight w:val="0"/>
              <w:marTop w:val="0"/>
              <w:marBottom w:val="0"/>
              <w:divBdr>
                <w:top w:val="none" w:sz="0" w:space="0" w:color="auto"/>
                <w:left w:val="none" w:sz="0" w:space="0" w:color="auto"/>
                <w:bottom w:val="none" w:sz="0" w:space="0" w:color="auto"/>
                <w:right w:val="none" w:sz="0" w:space="0" w:color="auto"/>
              </w:divBdr>
            </w:div>
          </w:divsChild>
        </w:div>
        <w:div w:id="253635935">
          <w:marLeft w:val="0"/>
          <w:marRight w:val="0"/>
          <w:marTop w:val="0"/>
          <w:marBottom w:val="0"/>
          <w:divBdr>
            <w:top w:val="none" w:sz="0" w:space="0" w:color="auto"/>
            <w:left w:val="none" w:sz="0" w:space="0" w:color="auto"/>
            <w:bottom w:val="none" w:sz="0" w:space="0" w:color="auto"/>
            <w:right w:val="none" w:sz="0" w:space="0" w:color="auto"/>
          </w:divBdr>
          <w:divsChild>
            <w:div w:id="118381659">
              <w:marLeft w:val="0"/>
              <w:marRight w:val="0"/>
              <w:marTop w:val="0"/>
              <w:marBottom w:val="0"/>
              <w:divBdr>
                <w:top w:val="none" w:sz="0" w:space="0" w:color="auto"/>
                <w:left w:val="none" w:sz="0" w:space="0" w:color="auto"/>
                <w:bottom w:val="none" w:sz="0" w:space="0" w:color="auto"/>
                <w:right w:val="none" w:sz="0" w:space="0" w:color="auto"/>
              </w:divBdr>
            </w:div>
            <w:div w:id="2110926488">
              <w:marLeft w:val="0"/>
              <w:marRight w:val="0"/>
              <w:marTop w:val="0"/>
              <w:marBottom w:val="0"/>
              <w:divBdr>
                <w:top w:val="none" w:sz="0" w:space="0" w:color="auto"/>
                <w:left w:val="none" w:sz="0" w:space="0" w:color="auto"/>
                <w:bottom w:val="none" w:sz="0" w:space="0" w:color="auto"/>
                <w:right w:val="none" w:sz="0" w:space="0" w:color="auto"/>
              </w:divBdr>
              <w:divsChild>
                <w:div w:id="957565519">
                  <w:marLeft w:val="0"/>
                  <w:marRight w:val="0"/>
                  <w:marTop w:val="0"/>
                  <w:marBottom w:val="0"/>
                  <w:divBdr>
                    <w:top w:val="none" w:sz="0" w:space="0" w:color="auto"/>
                    <w:left w:val="none" w:sz="0" w:space="0" w:color="auto"/>
                    <w:bottom w:val="none" w:sz="0" w:space="0" w:color="auto"/>
                    <w:right w:val="none" w:sz="0" w:space="0" w:color="auto"/>
                  </w:divBdr>
                </w:div>
                <w:div w:id="1613628023">
                  <w:marLeft w:val="0"/>
                  <w:marRight w:val="0"/>
                  <w:marTop w:val="0"/>
                  <w:marBottom w:val="0"/>
                  <w:divBdr>
                    <w:top w:val="none" w:sz="0" w:space="0" w:color="auto"/>
                    <w:left w:val="none" w:sz="0" w:space="0" w:color="auto"/>
                    <w:bottom w:val="none" w:sz="0" w:space="0" w:color="auto"/>
                    <w:right w:val="none" w:sz="0" w:space="0" w:color="auto"/>
                  </w:divBdr>
                </w:div>
                <w:div w:id="184557546">
                  <w:marLeft w:val="0"/>
                  <w:marRight w:val="0"/>
                  <w:marTop w:val="0"/>
                  <w:marBottom w:val="0"/>
                  <w:divBdr>
                    <w:top w:val="none" w:sz="0" w:space="0" w:color="auto"/>
                    <w:left w:val="none" w:sz="0" w:space="0" w:color="auto"/>
                    <w:bottom w:val="none" w:sz="0" w:space="0" w:color="auto"/>
                    <w:right w:val="none" w:sz="0" w:space="0" w:color="auto"/>
                  </w:divBdr>
                </w:div>
                <w:div w:id="1940138862">
                  <w:marLeft w:val="0"/>
                  <w:marRight w:val="0"/>
                  <w:marTop w:val="0"/>
                  <w:marBottom w:val="0"/>
                  <w:divBdr>
                    <w:top w:val="none" w:sz="0" w:space="0" w:color="auto"/>
                    <w:left w:val="none" w:sz="0" w:space="0" w:color="auto"/>
                    <w:bottom w:val="none" w:sz="0" w:space="0" w:color="auto"/>
                    <w:right w:val="none" w:sz="0" w:space="0" w:color="auto"/>
                  </w:divBdr>
                </w:div>
                <w:div w:id="658728617">
                  <w:marLeft w:val="0"/>
                  <w:marRight w:val="0"/>
                  <w:marTop w:val="0"/>
                  <w:marBottom w:val="0"/>
                  <w:divBdr>
                    <w:top w:val="none" w:sz="0" w:space="0" w:color="auto"/>
                    <w:left w:val="none" w:sz="0" w:space="0" w:color="auto"/>
                    <w:bottom w:val="none" w:sz="0" w:space="0" w:color="auto"/>
                    <w:right w:val="none" w:sz="0" w:space="0" w:color="auto"/>
                  </w:divBdr>
                </w:div>
                <w:div w:id="403187319">
                  <w:marLeft w:val="0"/>
                  <w:marRight w:val="0"/>
                  <w:marTop w:val="0"/>
                  <w:marBottom w:val="0"/>
                  <w:divBdr>
                    <w:top w:val="none" w:sz="0" w:space="0" w:color="auto"/>
                    <w:left w:val="none" w:sz="0" w:space="0" w:color="auto"/>
                    <w:bottom w:val="none" w:sz="0" w:space="0" w:color="auto"/>
                    <w:right w:val="none" w:sz="0" w:space="0" w:color="auto"/>
                  </w:divBdr>
                </w:div>
                <w:div w:id="833448662">
                  <w:marLeft w:val="0"/>
                  <w:marRight w:val="0"/>
                  <w:marTop w:val="0"/>
                  <w:marBottom w:val="0"/>
                  <w:divBdr>
                    <w:top w:val="none" w:sz="0" w:space="0" w:color="auto"/>
                    <w:left w:val="none" w:sz="0" w:space="0" w:color="auto"/>
                    <w:bottom w:val="none" w:sz="0" w:space="0" w:color="auto"/>
                    <w:right w:val="none" w:sz="0" w:space="0" w:color="auto"/>
                  </w:divBdr>
                </w:div>
                <w:div w:id="1211500277">
                  <w:marLeft w:val="0"/>
                  <w:marRight w:val="0"/>
                  <w:marTop w:val="0"/>
                  <w:marBottom w:val="0"/>
                  <w:divBdr>
                    <w:top w:val="none" w:sz="0" w:space="0" w:color="auto"/>
                    <w:left w:val="none" w:sz="0" w:space="0" w:color="auto"/>
                    <w:bottom w:val="none" w:sz="0" w:space="0" w:color="auto"/>
                    <w:right w:val="none" w:sz="0" w:space="0" w:color="auto"/>
                  </w:divBdr>
                </w:div>
                <w:div w:id="1870993087">
                  <w:marLeft w:val="0"/>
                  <w:marRight w:val="0"/>
                  <w:marTop w:val="0"/>
                  <w:marBottom w:val="0"/>
                  <w:divBdr>
                    <w:top w:val="none" w:sz="0" w:space="0" w:color="auto"/>
                    <w:left w:val="none" w:sz="0" w:space="0" w:color="auto"/>
                    <w:bottom w:val="none" w:sz="0" w:space="0" w:color="auto"/>
                    <w:right w:val="none" w:sz="0" w:space="0" w:color="auto"/>
                  </w:divBdr>
                </w:div>
                <w:div w:id="463894218">
                  <w:marLeft w:val="0"/>
                  <w:marRight w:val="0"/>
                  <w:marTop w:val="0"/>
                  <w:marBottom w:val="0"/>
                  <w:divBdr>
                    <w:top w:val="none" w:sz="0" w:space="0" w:color="auto"/>
                    <w:left w:val="none" w:sz="0" w:space="0" w:color="auto"/>
                    <w:bottom w:val="none" w:sz="0" w:space="0" w:color="auto"/>
                    <w:right w:val="none" w:sz="0" w:space="0" w:color="auto"/>
                  </w:divBdr>
                </w:div>
                <w:div w:id="1014767055">
                  <w:marLeft w:val="0"/>
                  <w:marRight w:val="0"/>
                  <w:marTop w:val="0"/>
                  <w:marBottom w:val="0"/>
                  <w:divBdr>
                    <w:top w:val="none" w:sz="0" w:space="0" w:color="auto"/>
                    <w:left w:val="none" w:sz="0" w:space="0" w:color="auto"/>
                    <w:bottom w:val="none" w:sz="0" w:space="0" w:color="auto"/>
                    <w:right w:val="none" w:sz="0" w:space="0" w:color="auto"/>
                  </w:divBdr>
                </w:div>
                <w:div w:id="607197713">
                  <w:marLeft w:val="0"/>
                  <w:marRight w:val="0"/>
                  <w:marTop w:val="0"/>
                  <w:marBottom w:val="0"/>
                  <w:divBdr>
                    <w:top w:val="none" w:sz="0" w:space="0" w:color="auto"/>
                    <w:left w:val="none" w:sz="0" w:space="0" w:color="auto"/>
                    <w:bottom w:val="none" w:sz="0" w:space="0" w:color="auto"/>
                    <w:right w:val="none" w:sz="0" w:space="0" w:color="auto"/>
                  </w:divBdr>
                </w:div>
                <w:div w:id="125441118">
                  <w:marLeft w:val="0"/>
                  <w:marRight w:val="0"/>
                  <w:marTop w:val="0"/>
                  <w:marBottom w:val="0"/>
                  <w:divBdr>
                    <w:top w:val="none" w:sz="0" w:space="0" w:color="auto"/>
                    <w:left w:val="none" w:sz="0" w:space="0" w:color="auto"/>
                    <w:bottom w:val="none" w:sz="0" w:space="0" w:color="auto"/>
                    <w:right w:val="none" w:sz="0" w:space="0" w:color="auto"/>
                  </w:divBdr>
                </w:div>
                <w:div w:id="1452162262">
                  <w:marLeft w:val="0"/>
                  <w:marRight w:val="0"/>
                  <w:marTop w:val="0"/>
                  <w:marBottom w:val="0"/>
                  <w:divBdr>
                    <w:top w:val="none" w:sz="0" w:space="0" w:color="auto"/>
                    <w:left w:val="none" w:sz="0" w:space="0" w:color="auto"/>
                    <w:bottom w:val="none" w:sz="0" w:space="0" w:color="auto"/>
                    <w:right w:val="none" w:sz="0" w:space="0" w:color="auto"/>
                  </w:divBdr>
                </w:div>
                <w:div w:id="1963725184">
                  <w:marLeft w:val="0"/>
                  <w:marRight w:val="0"/>
                  <w:marTop w:val="0"/>
                  <w:marBottom w:val="0"/>
                  <w:divBdr>
                    <w:top w:val="none" w:sz="0" w:space="0" w:color="auto"/>
                    <w:left w:val="none" w:sz="0" w:space="0" w:color="auto"/>
                    <w:bottom w:val="none" w:sz="0" w:space="0" w:color="auto"/>
                    <w:right w:val="none" w:sz="0" w:space="0" w:color="auto"/>
                  </w:divBdr>
                </w:div>
                <w:div w:id="1904440229">
                  <w:marLeft w:val="0"/>
                  <w:marRight w:val="0"/>
                  <w:marTop w:val="0"/>
                  <w:marBottom w:val="0"/>
                  <w:divBdr>
                    <w:top w:val="none" w:sz="0" w:space="0" w:color="auto"/>
                    <w:left w:val="none" w:sz="0" w:space="0" w:color="auto"/>
                    <w:bottom w:val="none" w:sz="0" w:space="0" w:color="auto"/>
                    <w:right w:val="none" w:sz="0" w:space="0" w:color="auto"/>
                  </w:divBdr>
                </w:div>
                <w:div w:id="956791667">
                  <w:marLeft w:val="0"/>
                  <w:marRight w:val="0"/>
                  <w:marTop w:val="0"/>
                  <w:marBottom w:val="0"/>
                  <w:divBdr>
                    <w:top w:val="none" w:sz="0" w:space="0" w:color="auto"/>
                    <w:left w:val="none" w:sz="0" w:space="0" w:color="auto"/>
                    <w:bottom w:val="none" w:sz="0" w:space="0" w:color="auto"/>
                    <w:right w:val="none" w:sz="0" w:space="0" w:color="auto"/>
                  </w:divBdr>
                </w:div>
                <w:div w:id="678045911">
                  <w:marLeft w:val="0"/>
                  <w:marRight w:val="0"/>
                  <w:marTop w:val="0"/>
                  <w:marBottom w:val="0"/>
                  <w:divBdr>
                    <w:top w:val="none" w:sz="0" w:space="0" w:color="auto"/>
                    <w:left w:val="none" w:sz="0" w:space="0" w:color="auto"/>
                    <w:bottom w:val="none" w:sz="0" w:space="0" w:color="auto"/>
                    <w:right w:val="none" w:sz="0" w:space="0" w:color="auto"/>
                  </w:divBdr>
                </w:div>
                <w:div w:id="1650668833">
                  <w:marLeft w:val="0"/>
                  <w:marRight w:val="0"/>
                  <w:marTop w:val="0"/>
                  <w:marBottom w:val="0"/>
                  <w:divBdr>
                    <w:top w:val="none" w:sz="0" w:space="0" w:color="auto"/>
                    <w:left w:val="none" w:sz="0" w:space="0" w:color="auto"/>
                    <w:bottom w:val="none" w:sz="0" w:space="0" w:color="auto"/>
                    <w:right w:val="none" w:sz="0" w:space="0" w:color="auto"/>
                  </w:divBdr>
                </w:div>
                <w:div w:id="1004092903">
                  <w:marLeft w:val="0"/>
                  <w:marRight w:val="0"/>
                  <w:marTop w:val="0"/>
                  <w:marBottom w:val="0"/>
                  <w:divBdr>
                    <w:top w:val="none" w:sz="0" w:space="0" w:color="auto"/>
                    <w:left w:val="none" w:sz="0" w:space="0" w:color="auto"/>
                    <w:bottom w:val="none" w:sz="0" w:space="0" w:color="auto"/>
                    <w:right w:val="none" w:sz="0" w:space="0" w:color="auto"/>
                  </w:divBdr>
                </w:div>
                <w:div w:id="1535851463">
                  <w:marLeft w:val="0"/>
                  <w:marRight w:val="0"/>
                  <w:marTop w:val="0"/>
                  <w:marBottom w:val="0"/>
                  <w:divBdr>
                    <w:top w:val="none" w:sz="0" w:space="0" w:color="auto"/>
                    <w:left w:val="none" w:sz="0" w:space="0" w:color="auto"/>
                    <w:bottom w:val="none" w:sz="0" w:space="0" w:color="auto"/>
                    <w:right w:val="none" w:sz="0" w:space="0" w:color="auto"/>
                  </w:divBdr>
                </w:div>
                <w:div w:id="1707100652">
                  <w:marLeft w:val="0"/>
                  <w:marRight w:val="0"/>
                  <w:marTop w:val="0"/>
                  <w:marBottom w:val="0"/>
                  <w:divBdr>
                    <w:top w:val="none" w:sz="0" w:space="0" w:color="auto"/>
                    <w:left w:val="none" w:sz="0" w:space="0" w:color="auto"/>
                    <w:bottom w:val="none" w:sz="0" w:space="0" w:color="auto"/>
                    <w:right w:val="none" w:sz="0" w:space="0" w:color="auto"/>
                  </w:divBdr>
                </w:div>
                <w:div w:id="1959799191">
                  <w:marLeft w:val="0"/>
                  <w:marRight w:val="0"/>
                  <w:marTop w:val="0"/>
                  <w:marBottom w:val="0"/>
                  <w:divBdr>
                    <w:top w:val="none" w:sz="0" w:space="0" w:color="auto"/>
                    <w:left w:val="none" w:sz="0" w:space="0" w:color="auto"/>
                    <w:bottom w:val="none" w:sz="0" w:space="0" w:color="auto"/>
                    <w:right w:val="none" w:sz="0" w:space="0" w:color="auto"/>
                  </w:divBdr>
                </w:div>
                <w:div w:id="562180988">
                  <w:marLeft w:val="0"/>
                  <w:marRight w:val="0"/>
                  <w:marTop w:val="0"/>
                  <w:marBottom w:val="0"/>
                  <w:divBdr>
                    <w:top w:val="none" w:sz="0" w:space="0" w:color="auto"/>
                    <w:left w:val="none" w:sz="0" w:space="0" w:color="auto"/>
                    <w:bottom w:val="none" w:sz="0" w:space="0" w:color="auto"/>
                    <w:right w:val="none" w:sz="0" w:space="0" w:color="auto"/>
                  </w:divBdr>
                </w:div>
                <w:div w:id="673797260">
                  <w:marLeft w:val="0"/>
                  <w:marRight w:val="0"/>
                  <w:marTop w:val="0"/>
                  <w:marBottom w:val="0"/>
                  <w:divBdr>
                    <w:top w:val="none" w:sz="0" w:space="0" w:color="auto"/>
                    <w:left w:val="none" w:sz="0" w:space="0" w:color="auto"/>
                    <w:bottom w:val="none" w:sz="0" w:space="0" w:color="auto"/>
                    <w:right w:val="none" w:sz="0" w:space="0" w:color="auto"/>
                  </w:divBdr>
                </w:div>
                <w:div w:id="596866540">
                  <w:marLeft w:val="0"/>
                  <w:marRight w:val="0"/>
                  <w:marTop w:val="0"/>
                  <w:marBottom w:val="0"/>
                  <w:divBdr>
                    <w:top w:val="none" w:sz="0" w:space="0" w:color="auto"/>
                    <w:left w:val="none" w:sz="0" w:space="0" w:color="auto"/>
                    <w:bottom w:val="none" w:sz="0" w:space="0" w:color="auto"/>
                    <w:right w:val="none" w:sz="0" w:space="0" w:color="auto"/>
                  </w:divBdr>
                </w:div>
                <w:div w:id="2023622219">
                  <w:marLeft w:val="0"/>
                  <w:marRight w:val="0"/>
                  <w:marTop w:val="0"/>
                  <w:marBottom w:val="0"/>
                  <w:divBdr>
                    <w:top w:val="none" w:sz="0" w:space="0" w:color="auto"/>
                    <w:left w:val="none" w:sz="0" w:space="0" w:color="auto"/>
                    <w:bottom w:val="none" w:sz="0" w:space="0" w:color="auto"/>
                    <w:right w:val="none" w:sz="0" w:space="0" w:color="auto"/>
                  </w:divBdr>
                </w:div>
                <w:div w:id="1920477544">
                  <w:marLeft w:val="0"/>
                  <w:marRight w:val="0"/>
                  <w:marTop w:val="0"/>
                  <w:marBottom w:val="0"/>
                  <w:divBdr>
                    <w:top w:val="none" w:sz="0" w:space="0" w:color="auto"/>
                    <w:left w:val="none" w:sz="0" w:space="0" w:color="auto"/>
                    <w:bottom w:val="none" w:sz="0" w:space="0" w:color="auto"/>
                    <w:right w:val="none" w:sz="0" w:space="0" w:color="auto"/>
                  </w:divBdr>
                </w:div>
                <w:div w:id="209645">
                  <w:marLeft w:val="0"/>
                  <w:marRight w:val="0"/>
                  <w:marTop w:val="0"/>
                  <w:marBottom w:val="0"/>
                  <w:divBdr>
                    <w:top w:val="none" w:sz="0" w:space="0" w:color="auto"/>
                    <w:left w:val="none" w:sz="0" w:space="0" w:color="auto"/>
                    <w:bottom w:val="none" w:sz="0" w:space="0" w:color="auto"/>
                    <w:right w:val="none" w:sz="0" w:space="0" w:color="auto"/>
                  </w:divBdr>
                </w:div>
                <w:div w:id="1463840777">
                  <w:marLeft w:val="0"/>
                  <w:marRight w:val="0"/>
                  <w:marTop w:val="0"/>
                  <w:marBottom w:val="0"/>
                  <w:divBdr>
                    <w:top w:val="none" w:sz="0" w:space="0" w:color="auto"/>
                    <w:left w:val="none" w:sz="0" w:space="0" w:color="auto"/>
                    <w:bottom w:val="none" w:sz="0" w:space="0" w:color="auto"/>
                    <w:right w:val="none" w:sz="0" w:space="0" w:color="auto"/>
                  </w:divBdr>
                </w:div>
                <w:div w:id="616450282">
                  <w:marLeft w:val="0"/>
                  <w:marRight w:val="0"/>
                  <w:marTop w:val="0"/>
                  <w:marBottom w:val="0"/>
                  <w:divBdr>
                    <w:top w:val="none" w:sz="0" w:space="0" w:color="auto"/>
                    <w:left w:val="none" w:sz="0" w:space="0" w:color="auto"/>
                    <w:bottom w:val="none" w:sz="0" w:space="0" w:color="auto"/>
                    <w:right w:val="none" w:sz="0" w:space="0" w:color="auto"/>
                  </w:divBdr>
                </w:div>
                <w:div w:id="1637681091">
                  <w:marLeft w:val="0"/>
                  <w:marRight w:val="0"/>
                  <w:marTop w:val="0"/>
                  <w:marBottom w:val="0"/>
                  <w:divBdr>
                    <w:top w:val="none" w:sz="0" w:space="0" w:color="auto"/>
                    <w:left w:val="none" w:sz="0" w:space="0" w:color="auto"/>
                    <w:bottom w:val="none" w:sz="0" w:space="0" w:color="auto"/>
                    <w:right w:val="none" w:sz="0" w:space="0" w:color="auto"/>
                  </w:divBdr>
                </w:div>
                <w:div w:id="1401489050">
                  <w:marLeft w:val="0"/>
                  <w:marRight w:val="0"/>
                  <w:marTop w:val="0"/>
                  <w:marBottom w:val="0"/>
                  <w:divBdr>
                    <w:top w:val="none" w:sz="0" w:space="0" w:color="auto"/>
                    <w:left w:val="none" w:sz="0" w:space="0" w:color="auto"/>
                    <w:bottom w:val="none" w:sz="0" w:space="0" w:color="auto"/>
                    <w:right w:val="none" w:sz="0" w:space="0" w:color="auto"/>
                  </w:divBdr>
                </w:div>
                <w:div w:id="1059288350">
                  <w:marLeft w:val="0"/>
                  <w:marRight w:val="0"/>
                  <w:marTop w:val="0"/>
                  <w:marBottom w:val="0"/>
                  <w:divBdr>
                    <w:top w:val="none" w:sz="0" w:space="0" w:color="auto"/>
                    <w:left w:val="none" w:sz="0" w:space="0" w:color="auto"/>
                    <w:bottom w:val="none" w:sz="0" w:space="0" w:color="auto"/>
                    <w:right w:val="none" w:sz="0" w:space="0" w:color="auto"/>
                  </w:divBdr>
                </w:div>
                <w:div w:id="587735883">
                  <w:marLeft w:val="0"/>
                  <w:marRight w:val="0"/>
                  <w:marTop w:val="0"/>
                  <w:marBottom w:val="0"/>
                  <w:divBdr>
                    <w:top w:val="none" w:sz="0" w:space="0" w:color="auto"/>
                    <w:left w:val="none" w:sz="0" w:space="0" w:color="auto"/>
                    <w:bottom w:val="none" w:sz="0" w:space="0" w:color="auto"/>
                    <w:right w:val="none" w:sz="0" w:space="0" w:color="auto"/>
                  </w:divBdr>
                </w:div>
                <w:div w:id="2107193295">
                  <w:marLeft w:val="0"/>
                  <w:marRight w:val="0"/>
                  <w:marTop w:val="0"/>
                  <w:marBottom w:val="0"/>
                  <w:divBdr>
                    <w:top w:val="none" w:sz="0" w:space="0" w:color="auto"/>
                    <w:left w:val="none" w:sz="0" w:space="0" w:color="auto"/>
                    <w:bottom w:val="none" w:sz="0" w:space="0" w:color="auto"/>
                    <w:right w:val="none" w:sz="0" w:space="0" w:color="auto"/>
                  </w:divBdr>
                </w:div>
                <w:div w:id="499269608">
                  <w:marLeft w:val="0"/>
                  <w:marRight w:val="0"/>
                  <w:marTop w:val="0"/>
                  <w:marBottom w:val="0"/>
                  <w:divBdr>
                    <w:top w:val="none" w:sz="0" w:space="0" w:color="auto"/>
                    <w:left w:val="none" w:sz="0" w:space="0" w:color="auto"/>
                    <w:bottom w:val="none" w:sz="0" w:space="0" w:color="auto"/>
                    <w:right w:val="none" w:sz="0" w:space="0" w:color="auto"/>
                  </w:divBdr>
                </w:div>
                <w:div w:id="1017541287">
                  <w:marLeft w:val="0"/>
                  <w:marRight w:val="0"/>
                  <w:marTop w:val="0"/>
                  <w:marBottom w:val="0"/>
                  <w:divBdr>
                    <w:top w:val="none" w:sz="0" w:space="0" w:color="auto"/>
                    <w:left w:val="none" w:sz="0" w:space="0" w:color="auto"/>
                    <w:bottom w:val="none" w:sz="0" w:space="0" w:color="auto"/>
                    <w:right w:val="none" w:sz="0" w:space="0" w:color="auto"/>
                  </w:divBdr>
                </w:div>
                <w:div w:id="510684851">
                  <w:marLeft w:val="0"/>
                  <w:marRight w:val="0"/>
                  <w:marTop w:val="0"/>
                  <w:marBottom w:val="0"/>
                  <w:divBdr>
                    <w:top w:val="none" w:sz="0" w:space="0" w:color="auto"/>
                    <w:left w:val="none" w:sz="0" w:space="0" w:color="auto"/>
                    <w:bottom w:val="none" w:sz="0" w:space="0" w:color="auto"/>
                    <w:right w:val="none" w:sz="0" w:space="0" w:color="auto"/>
                  </w:divBdr>
                </w:div>
                <w:div w:id="1827435021">
                  <w:marLeft w:val="0"/>
                  <w:marRight w:val="0"/>
                  <w:marTop w:val="0"/>
                  <w:marBottom w:val="0"/>
                  <w:divBdr>
                    <w:top w:val="none" w:sz="0" w:space="0" w:color="auto"/>
                    <w:left w:val="none" w:sz="0" w:space="0" w:color="auto"/>
                    <w:bottom w:val="none" w:sz="0" w:space="0" w:color="auto"/>
                    <w:right w:val="none" w:sz="0" w:space="0" w:color="auto"/>
                  </w:divBdr>
                </w:div>
                <w:div w:id="233975597">
                  <w:marLeft w:val="0"/>
                  <w:marRight w:val="0"/>
                  <w:marTop w:val="0"/>
                  <w:marBottom w:val="0"/>
                  <w:divBdr>
                    <w:top w:val="none" w:sz="0" w:space="0" w:color="auto"/>
                    <w:left w:val="none" w:sz="0" w:space="0" w:color="auto"/>
                    <w:bottom w:val="none" w:sz="0" w:space="0" w:color="auto"/>
                    <w:right w:val="none" w:sz="0" w:space="0" w:color="auto"/>
                  </w:divBdr>
                </w:div>
                <w:div w:id="1702364032">
                  <w:marLeft w:val="0"/>
                  <w:marRight w:val="0"/>
                  <w:marTop w:val="0"/>
                  <w:marBottom w:val="0"/>
                  <w:divBdr>
                    <w:top w:val="none" w:sz="0" w:space="0" w:color="auto"/>
                    <w:left w:val="none" w:sz="0" w:space="0" w:color="auto"/>
                    <w:bottom w:val="none" w:sz="0" w:space="0" w:color="auto"/>
                    <w:right w:val="none" w:sz="0" w:space="0" w:color="auto"/>
                  </w:divBdr>
                </w:div>
                <w:div w:id="15944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6386005/table/t1/" TargetMode="External"/><Relationship Id="rId21" Type="http://schemas.openxmlformats.org/officeDocument/2006/relationships/hyperlink" Target="https://www.ncbi.nlm.nih.gov/pmc/articles/PMC6386005/" TargetMode="External"/><Relationship Id="rId42" Type="http://schemas.openxmlformats.org/officeDocument/2006/relationships/hyperlink" Target="https://www.ncbi.nlm.nih.gov/pmc/articles/PMC6386005/" TargetMode="External"/><Relationship Id="rId47" Type="http://schemas.openxmlformats.org/officeDocument/2006/relationships/hyperlink" Target="https://www.ncbi.nlm.nih.gov/pmc/articles/PMC6386005/" TargetMode="External"/><Relationship Id="rId63" Type="http://schemas.openxmlformats.org/officeDocument/2006/relationships/hyperlink" Target="https://www.ncbi.nlm.nih.gov/pmc/articles/PMC6386005/" TargetMode="External"/><Relationship Id="rId68" Type="http://schemas.openxmlformats.org/officeDocument/2006/relationships/hyperlink" Target="https://www.ncbi.nlm.nih.gov/pmc/articles/PMC6386005/" TargetMode="External"/><Relationship Id="rId16" Type="http://schemas.openxmlformats.org/officeDocument/2006/relationships/hyperlink" Target="https://www.ncbi.nlm.nih.gov/pmc/articles/PMC6386005/" TargetMode="External"/><Relationship Id="rId11" Type="http://schemas.openxmlformats.org/officeDocument/2006/relationships/hyperlink" Target="https://www.ncbi.nlm.nih.gov/pubmed/?term=Sao%20MP%5BAuthor%5D&amp;cauthor=true&amp;cauthor_uid=31093061" TargetMode="External"/><Relationship Id="rId24" Type="http://schemas.openxmlformats.org/officeDocument/2006/relationships/hyperlink" Target="https://www.ncbi.nlm.nih.gov/pmc/articles/PMC6386005/" TargetMode="External"/><Relationship Id="rId32" Type="http://schemas.openxmlformats.org/officeDocument/2006/relationships/hyperlink" Target="https://www.ncbi.nlm.nih.gov/pmc/articles/PMC6386005/" TargetMode="External"/><Relationship Id="rId37" Type="http://schemas.openxmlformats.org/officeDocument/2006/relationships/hyperlink" Target="https://www.ncbi.nlm.nih.gov/pmc/articles/PMC6386005/" TargetMode="External"/><Relationship Id="rId40" Type="http://schemas.openxmlformats.org/officeDocument/2006/relationships/hyperlink" Target="https://www.ncbi.nlm.nih.gov/pmc/articles/PMC6386005/table/t3/" TargetMode="External"/><Relationship Id="rId45" Type="http://schemas.openxmlformats.org/officeDocument/2006/relationships/hyperlink" Target="https://www.ncbi.nlm.nih.gov/pmc/articles/PMC6386005/" TargetMode="External"/><Relationship Id="rId53" Type="http://schemas.openxmlformats.org/officeDocument/2006/relationships/hyperlink" Target="https://www.ncbi.nlm.nih.gov/pmc/articles/PMC6386005/" TargetMode="External"/><Relationship Id="rId58" Type="http://schemas.openxmlformats.org/officeDocument/2006/relationships/hyperlink" Target="https://www.ncbi.nlm.nih.gov/pmc/articles/PMC6386005/" TargetMode="External"/><Relationship Id="rId66" Type="http://schemas.openxmlformats.org/officeDocument/2006/relationships/hyperlink" Target="https://www.ncbi.nlm.nih.gov/pmc/articles/PMC6386005/" TargetMode="External"/><Relationship Id="rId74" Type="http://schemas.openxmlformats.org/officeDocument/2006/relationships/hyperlink" Target="https://www.ncbi.nlm.nih.gov/pmc/articles/PMC6386005/" TargetMode="External"/><Relationship Id="rId5" Type="http://schemas.openxmlformats.org/officeDocument/2006/relationships/hyperlink" Target="https://www.ncbi.nlm.nih.gov/pubmed/?term=P%26%23x000e9%3Brez%20NR%5BAuthor%5D&amp;cauthor=true&amp;cauthor_uid=31093061" TargetMode="External"/><Relationship Id="rId61" Type="http://schemas.openxmlformats.org/officeDocument/2006/relationships/hyperlink" Target="https://www.ncbi.nlm.nih.gov/pmc/articles/PMC6386005/" TargetMode="External"/><Relationship Id="rId19" Type="http://schemas.openxmlformats.org/officeDocument/2006/relationships/hyperlink" Target="https://www.ncbi.nlm.nih.gov/pmc/articles/PMC6386005/" TargetMode="External"/><Relationship Id="rId14" Type="http://schemas.openxmlformats.org/officeDocument/2006/relationships/hyperlink" Target="https://www.ncbi.nlm.nih.gov/pmc/articles/PMC6386005/" TargetMode="External"/><Relationship Id="rId22" Type="http://schemas.openxmlformats.org/officeDocument/2006/relationships/hyperlink" Target="https://www.ncbi.nlm.nih.gov/pmc/articles/PMC6386005/" TargetMode="External"/><Relationship Id="rId27" Type="http://schemas.openxmlformats.org/officeDocument/2006/relationships/hyperlink" Target="https://www.ncbi.nlm.nih.gov/pmc/articles/PMC6386005/table/t2/" TargetMode="External"/><Relationship Id="rId30" Type="http://schemas.openxmlformats.org/officeDocument/2006/relationships/hyperlink" Target="https://www.ncbi.nlm.nih.gov/pmc/articles/PMC6386005/" TargetMode="External"/><Relationship Id="rId35" Type="http://schemas.openxmlformats.org/officeDocument/2006/relationships/hyperlink" Target="https://www.ncbi.nlm.nih.gov/pmc/articles/PMC6386005/" TargetMode="External"/><Relationship Id="rId43" Type="http://schemas.openxmlformats.org/officeDocument/2006/relationships/hyperlink" Target="https://www.ncbi.nlm.nih.gov/pmc/articles/PMC6386005/" TargetMode="External"/><Relationship Id="rId48" Type="http://schemas.openxmlformats.org/officeDocument/2006/relationships/hyperlink" Target="https://www.ncbi.nlm.nih.gov/pmc/articles/PMC6386005/" TargetMode="External"/><Relationship Id="rId56" Type="http://schemas.openxmlformats.org/officeDocument/2006/relationships/hyperlink" Target="https://www.ncbi.nlm.nih.gov/pmc/articles/PMC6386005/" TargetMode="External"/><Relationship Id="rId64" Type="http://schemas.openxmlformats.org/officeDocument/2006/relationships/hyperlink" Target="https://www.ncbi.nlm.nih.gov/pmc/articles/PMC6386005/" TargetMode="External"/><Relationship Id="rId69" Type="http://schemas.openxmlformats.org/officeDocument/2006/relationships/hyperlink" Target="https://www.ncbi.nlm.nih.gov/pmc/articles/PMC6386005/" TargetMode="External"/><Relationship Id="rId77" Type="http://schemas.openxmlformats.org/officeDocument/2006/relationships/fontTable" Target="fontTable.xml"/><Relationship Id="rId8" Type="http://schemas.openxmlformats.org/officeDocument/2006/relationships/hyperlink" Target="https://www.ncbi.nlm.nih.gov/pubmed/?term=Su%26%23x000e1%3Brez%20IM%5BAuthor%5D&amp;cauthor=true&amp;cauthor_uid=31093061" TargetMode="External"/><Relationship Id="rId51" Type="http://schemas.openxmlformats.org/officeDocument/2006/relationships/hyperlink" Target="https://www.ncbi.nlm.nih.gov/pmc/articles/PMC6386005/" TargetMode="External"/><Relationship Id="rId72" Type="http://schemas.openxmlformats.org/officeDocument/2006/relationships/hyperlink" Target="https://www.ncbi.nlm.nih.gov/pmc/articles/PMC6386005/" TargetMode="External"/><Relationship Id="rId3" Type="http://schemas.openxmlformats.org/officeDocument/2006/relationships/settings" Target="settings.xml"/><Relationship Id="rId12" Type="http://schemas.openxmlformats.org/officeDocument/2006/relationships/hyperlink" Target="https://www.ncbi.nlm.nih.gov/pubmed/?term=Rojo%20YT%5BAuthor%5D&amp;cauthor=true&amp;cauthor_uid=31093061" TargetMode="External"/><Relationship Id="rId17" Type="http://schemas.openxmlformats.org/officeDocument/2006/relationships/hyperlink" Target="https://www.ncbi.nlm.nih.gov/pmc/articles/PMC6386005/" TargetMode="External"/><Relationship Id="rId25" Type="http://schemas.openxmlformats.org/officeDocument/2006/relationships/hyperlink" Target="https://www.ncbi.nlm.nih.gov/pmc/articles/PMC6386005/" TargetMode="External"/><Relationship Id="rId33" Type="http://schemas.openxmlformats.org/officeDocument/2006/relationships/hyperlink" Target="https://www.ncbi.nlm.nih.gov/pmc/articles/PMC6386005/" TargetMode="External"/><Relationship Id="rId38" Type="http://schemas.openxmlformats.org/officeDocument/2006/relationships/hyperlink" Target="https://www.ncbi.nlm.nih.gov/pmc/articles/PMC6386005/" TargetMode="External"/><Relationship Id="rId46" Type="http://schemas.openxmlformats.org/officeDocument/2006/relationships/hyperlink" Target="https://www.ncbi.nlm.nih.gov/pmc/articles/PMC6386005/" TargetMode="External"/><Relationship Id="rId59" Type="http://schemas.openxmlformats.org/officeDocument/2006/relationships/hyperlink" Target="https://www.ncbi.nlm.nih.gov/pmc/articles/PMC6386005/" TargetMode="External"/><Relationship Id="rId67" Type="http://schemas.openxmlformats.org/officeDocument/2006/relationships/hyperlink" Target="https://www.ncbi.nlm.nih.gov/pmc/articles/PMC6386005/" TargetMode="External"/><Relationship Id="rId20" Type="http://schemas.openxmlformats.org/officeDocument/2006/relationships/hyperlink" Target="https://www.ncbi.nlm.nih.gov/pmc/articles/PMC6386005/" TargetMode="External"/><Relationship Id="rId41" Type="http://schemas.openxmlformats.org/officeDocument/2006/relationships/hyperlink" Target="https://www.ncbi.nlm.nih.gov/pmc/articles/PMC6386005/" TargetMode="External"/><Relationship Id="rId54" Type="http://schemas.openxmlformats.org/officeDocument/2006/relationships/hyperlink" Target="https://www.ncbi.nlm.nih.gov/pmc/articles/PMC6386005/" TargetMode="External"/><Relationship Id="rId62" Type="http://schemas.openxmlformats.org/officeDocument/2006/relationships/hyperlink" Target="https://www.ncbi.nlm.nih.gov/pmc/articles/PMC6386005/" TargetMode="External"/><Relationship Id="rId70" Type="http://schemas.openxmlformats.org/officeDocument/2006/relationships/hyperlink" Target="https://www.ncbi.nlm.nih.gov/pmc/articles/PMC6386005/" TargetMode="External"/><Relationship Id="rId75" Type="http://schemas.openxmlformats.org/officeDocument/2006/relationships/hyperlink" Target="https://www.ncbi.nlm.nih.gov/pmc/articles/PMC6386005/" TargetMode="External"/><Relationship Id="rId1" Type="http://schemas.openxmlformats.org/officeDocument/2006/relationships/numbering" Target="numbering.xml"/><Relationship Id="rId6" Type="http://schemas.openxmlformats.org/officeDocument/2006/relationships/hyperlink" Target="https://www.ncbi.nlm.nih.gov/pubmed/?term=P%26%23x000e9%3Brez%20CV%5BAuthor%5D&amp;cauthor=true&amp;cauthor_uid=31093061" TargetMode="External"/><Relationship Id="rId15" Type="http://schemas.openxmlformats.org/officeDocument/2006/relationships/hyperlink" Target="https://www.ncbi.nlm.nih.gov/pmc/articles/PMC6386005/" TargetMode="External"/><Relationship Id="rId23" Type="http://schemas.openxmlformats.org/officeDocument/2006/relationships/hyperlink" Target="https://www.ncbi.nlm.nih.gov/pmc/articles/PMC6386005/" TargetMode="External"/><Relationship Id="rId28" Type="http://schemas.openxmlformats.org/officeDocument/2006/relationships/hyperlink" Target="https://www.ncbi.nlm.nih.gov/pmc/articles/PMC6386005/" TargetMode="External"/><Relationship Id="rId36" Type="http://schemas.openxmlformats.org/officeDocument/2006/relationships/hyperlink" Target="https://www.ncbi.nlm.nih.gov/pmc/articles/PMC6386005/" TargetMode="External"/><Relationship Id="rId49" Type="http://schemas.openxmlformats.org/officeDocument/2006/relationships/hyperlink" Target="https://www.ncbi.nlm.nih.gov/pmc/articles/PMC6386005/" TargetMode="External"/><Relationship Id="rId57" Type="http://schemas.openxmlformats.org/officeDocument/2006/relationships/hyperlink" Target="https://www.ncbi.nlm.nih.gov/pmc/articles/PMC6386005/" TargetMode="External"/><Relationship Id="rId10" Type="http://schemas.openxmlformats.org/officeDocument/2006/relationships/hyperlink" Target="https://www.ncbi.nlm.nih.gov/pubmed/?term=Est%26%23x000e9%3Bvez%20IF%5BAuthor%5D&amp;cauthor=true&amp;cauthor_uid=31093061" TargetMode="External"/><Relationship Id="rId31" Type="http://schemas.openxmlformats.org/officeDocument/2006/relationships/hyperlink" Target="https://www.ncbi.nlm.nih.gov/pmc/articles/PMC6386005/" TargetMode="External"/><Relationship Id="rId44" Type="http://schemas.openxmlformats.org/officeDocument/2006/relationships/hyperlink" Target="https://www.ncbi.nlm.nih.gov/pmc/articles/PMC6386005/" TargetMode="External"/><Relationship Id="rId52" Type="http://schemas.openxmlformats.org/officeDocument/2006/relationships/hyperlink" Target="https://www.ncbi.nlm.nih.gov/pmc/articles/PMC6386005/table/t4/" TargetMode="External"/><Relationship Id="rId60" Type="http://schemas.openxmlformats.org/officeDocument/2006/relationships/hyperlink" Target="https://www.ncbi.nlm.nih.gov/pmc/articles/PMC6386005/" TargetMode="External"/><Relationship Id="rId65" Type="http://schemas.openxmlformats.org/officeDocument/2006/relationships/hyperlink" Target="https://www.ncbi.nlm.nih.gov/pmc/articles/PMC6386005/" TargetMode="External"/><Relationship Id="rId73" Type="http://schemas.openxmlformats.org/officeDocument/2006/relationships/hyperlink" Target="https://www.ncbi.nlm.nih.gov/pmc/articles/PMC6386005/"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ubmed/?term=Torres%20EM%5BAuthor%5D&amp;cauthor=true&amp;cauthor_uid=31093061" TargetMode="External"/><Relationship Id="rId13" Type="http://schemas.openxmlformats.org/officeDocument/2006/relationships/hyperlink" Target="https://www.ncbi.nlm.nih.gov/pubmed/?term=Gonz%26%23x000e1%3Blez%20VG%5BAuthor%5D&amp;cauthor=true&amp;cauthor_uid=31093061" TargetMode="External"/><Relationship Id="rId18" Type="http://schemas.openxmlformats.org/officeDocument/2006/relationships/hyperlink" Target="https://www.ncbi.nlm.nih.gov/pmc/articles/PMC6386005/" TargetMode="External"/><Relationship Id="rId39" Type="http://schemas.openxmlformats.org/officeDocument/2006/relationships/hyperlink" Target="https://www.ncbi.nlm.nih.gov/pmc/articles/PMC6386005/" TargetMode="External"/><Relationship Id="rId34" Type="http://schemas.openxmlformats.org/officeDocument/2006/relationships/hyperlink" Target="https://www.ncbi.nlm.nih.gov/pmc/articles/PMC6386005/" TargetMode="External"/><Relationship Id="rId50" Type="http://schemas.openxmlformats.org/officeDocument/2006/relationships/hyperlink" Target="https://www.ncbi.nlm.nih.gov/pmc/articles/PMC6386005/" TargetMode="External"/><Relationship Id="rId55" Type="http://schemas.openxmlformats.org/officeDocument/2006/relationships/hyperlink" Target="https://www.ncbi.nlm.nih.gov/pmc/articles/PMC6386005/" TargetMode="External"/><Relationship Id="rId76" Type="http://schemas.openxmlformats.org/officeDocument/2006/relationships/hyperlink" Target="https://www.ncbi.nlm.nih.gov/pmc/articles/PMC6386005/" TargetMode="External"/><Relationship Id="rId7" Type="http://schemas.openxmlformats.org/officeDocument/2006/relationships/hyperlink" Target="https://www.ncbi.nlm.nih.gov/pubmed/?term=Trujillo%20NM%5BAuthor%5D&amp;cauthor=true&amp;cauthor_uid=31093061" TargetMode="External"/><Relationship Id="rId71" Type="http://schemas.openxmlformats.org/officeDocument/2006/relationships/hyperlink" Target="https://www.ncbi.nlm.nih.gov/pmc/articles/PMC6386005/" TargetMode="External"/><Relationship Id="rId2" Type="http://schemas.openxmlformats.org/officeDocument/2006/relationships/styles" Target="styles.xml"/><Relationship Id="rId29" Type="http://schemas.openxmlformats.org/officeDocument/2006/relationships/hyperlink" Target="https://www.ncbi.nlm.nih.gov/pmc/articles/PMC6386005/"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6373</Words>
  <Characters>35054</Characters>
  <Application>Microsoft Office Word</Application>
  <DocSecurity>0</DocSecurity>
  <Lines>292</Lines>
  <Paragraphs>82</Paragraphs>
  <ScaleCrop>false</ScaleCrop>
  <Company/>
  <LinksUpToDate>false</LinksUpToDate>
  <CharactersWithSpaces>41345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26</cp:revision>
  <dcterms:created xsi:type="dcterms:W3CDTF">2020-12-14T20:45:00Z</dcterms:created>
  <dcterms:modified xsi:type="dcterms:W3CDTF">2019-12-04T01:15:00Z</dcterms:modified>
</cp:coreProperties>
</file>